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2155"/>
        <w:gridCol w:w="2268"/>
        <w:gridCol w:w="3090"/>
      </w:tblGrid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4303F4" w:rsidRDefault="00261959" w:rsidP="004303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26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Study program</w:t>
            </w:r>
            <w:r w:rsidR="008A7EB0" w:rsidRPr="0026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="008A7EB0" w:rsidRPr="004303F4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Pres</w:t>
            </w:r>
            <w:r w:rsidR="004303F4" w:rsidRPr="004303F4">
              <w:rPr>
                <w:rFonts w:ascii="Times New Roman" w:hAnsi="Times New Roman" w:cs="Times New Roman"/>
                <w:sz w:val="20"/>
                <w:szCs w:val="20"/>
              </w:rPr>
              <w:t>chool Teacher Education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4303F4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261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Type and level of studies</w:t>
            </w:r>
            <w:r w:rsidR="004303F4" w:rsidRPr="00261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  <w:r w:rsidR="007520BB">
              <w:rPr>
                <w:rFonts w:ascii="Times New Roman" w:hAnsi="Times New Roman" w:cs="Times New Roman"/>
                <w:sz w:val="20"/>
                <w:szCs w:val="20"/>
              </w:rPr>
              <w:t xml:space="preserve"> Master s</w:t>
            </w:r>
            <w:r w:rsidR="004303F4" w:rsidRPr="004303F4">
              <w:rPr>
                <w:rFonts w:ascii="Times New Roman" w:hAnsi="Times New Roman" w:cs="Times New Roman"/>
                <w:sz w:val="20"/>
                <w:szCs w:val="20"/>
              </w:rPr>
              <w:t>tudies</w:t>
            </w:r>
            <w:r w:rsidR="007520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20B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second cycle degree program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Course unit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r w:rsidR="00C862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Speech c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ulture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261959" w:rsidRDefault="005605A2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charge</w:t>
            </w:r>
            <w:proofErr w:type="spellEnd"/>
            <w:r w:rsidR="008A7EB0"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="00261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Ilijana</w:t>
            </w:r>
            <w:proofErr w:type="spellEnd"/>
            <w:r w:rsidR="00261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="00C862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C</w:t>
            </w:r>
            <w:r w:rsidR="008A7EB0"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utura</w:t>
            </w:r>
            <w:proofErr w:type="spellEnd"/>
            <w:r w:rsidR="00261959" w:rsidRPr="00261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PhD, assistant professor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8A7EB0" w:rsidRDefault="008A7EB0" w:rsidP="002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r-Latn-CS"/>
              </w:rPr>
            </w:pPr>
            <w:r w:rsidRPr="00261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Language of instruction</w:t>
            </w:r>
            <w:r w:rsidR="00261959" w:rsidRPr="00261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de-DE" w:eastAsia="sr-Latn-CS"/>
              </w:rPr>
              <w:t>:</w:t>
            </w:r>
            <w:r w:rsidR="0026195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English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FB62EE" w:rsidRPr="00FB62EE" w:rsidRDefault="00261959" w:rsidP="00FB62E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  <w:r w:rsidRPr="00261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619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 and course status</w:t>
            </w:r>
            <w:r w:rsidRPr="0026195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:</w:t>
            </w:r>
            <w:r w:rsidRPr="002619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 ECTS, </w:t>
            </w:r>
            <w:r w:rsidR="00FB62EE">
              <w:rPr>
                <w:rFonts w:ascii="Times New Roman" w:hAnsi="Times New Roman" w:cs="Times New Roman"/>
                <w:bCs/>
                <w:sz w:val="20"/>
                <w:szCs w:val="20"/>
              </w:rPr>
              <w:t>elective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261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Prerequisites:</w:t>
            </w:r>
            <w:r w:rsidR="0026195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/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261959" w:rsidRDefault="008A7EB0" w:rsidP="002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61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Semester</w:t>
            </w:r>
            <w:r w:rsidR="00261959" w:rsidRPr="002619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  <w:r w:rsidR="00261959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="005605A2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Winter s</w:t>
            </w:r>
            <w:r w:rsidRPr="00261959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emester</w:t>
            </w:r>
            <w:r w:rsidRPr="008A7E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r-Latn-CS"/>
              </w:rPr>
              <w:t xml:space="preserve"> </w:t>
            </w:r>
            <w:r w:rsidR="00C862A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(I</w:t>
            </w:r>
            <w:r w:rsidR="00261959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Default="008A7EB0" w:rsidP="008A7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 unit objective</w:t>
            </w:r>
          </w:p>
          <w:p w:rsidR="008A7EB0" w:rsidRPr="008A7EB0" w:rsidRDefault="008A7EB0" w:rsidP="002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Training students for continuing work on fostering their own culture of speech and speech culture of children</w:t>
            </w:r>
          </w:p>
          <w:p w:rsidR="008A7EB0" w:rsidRPr="008A7EB0" w:rsidRDefault="008A7EB0" w:rsidP="0026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preschoolers. Training students for problems and adequate procedures for solving them in</w:t>
            </w:r>
            <w:r w:rsidR="00261959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the field of culture speech.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601"/>
        </w:trPr>
        <w:tc>
          <w:tcPr>
            <w:tcW w:w="10598" w:type="dxa"/>
            <w:gridSpan w:val="5"/>
            <w:vAlign w:val="center"/>
          </w:tcPr>
          <w:p w:rsid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Learning outcomes of Course unit</w:t>
            </w:r>
          </w:p>
          <w:p w:rsidR="008A7EB0" w:rsidRPr="008A7EB0" w:rsidRDefault="008A7EB0" w:rsidP="002619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The student knows the basic concepts of speech culture, standard Serbian language and the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products of its disintegration.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Qualified for improvement, directing and promoting speech of preschool childre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n. He can independently conduct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researching speech characteristics and application of research results.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 unit contents</w:t>
            </w:r>
            <w:r w:rsidRPr="008A7EB0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Theoretical classes </w:t>
            </w:r>
          </w:p>
          <w:p w:rsidR="008A7EB0" w:rsidRPr="008A7EB0" w:rsidRDefault="008A7EB0" w:rsidP="002619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The concept and importance of the culture of speech and its relationship to culture in general. Languag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e and speech, language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stratification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>. Standard language.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 </w:t>
            </w:r>
            <w:r w:rsidRPr="008A7E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sr-Cyrl-CS" w:eastAsia="sr-Latn-CS"/>
              </w:rPr>
              <w:t xml:space="preserve">Communication and interpretative discourses. Characteristics of a good speech. Norma, style and </w:t>
            </w:r>
            <w:r w:rsid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efficiency of linguistic expression.</w:t>
            </w:r>
          </w:p>
          <w:p w:rsid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Practical classes </w:t>
            </w:r>
          </w:p>
          <w:p w:rsidR="00843A98" w:rsidRPr="008A7EB0" w:rsidRDefault="00843A98" w:rsidP="0026195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The methods and procedures for the development of language culture. Identification and description of th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e various dialects, sociolects, </w:t>
            </w:r>
            <w:r w:rsidRP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functional styles. Idio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lect. Style and linguostylistics</w:t>
            </w:r>
            <w:r w:rsidRP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. Research work: analysis of speech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in children, the language style </w:t>
            </w:r>
            <w:r w:rsidRPr="00843A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characteristics of literature for children and adults and the impact of media on the speech of preschool children.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Literature</w:t>
            </w:r>
          </w:p>
          <w:p w:rsidR="00140AD9" w:rsidRPr="00140AD9" w:rsidRDefault="00140AD9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 w:rsidRPr="00140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Stolarek</w:t>
            </w:r>
            <w:proofErr w:type="spellEnd"/>
            <w:r w:rsidRPr="00140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</w:t>
            </w:r>
            <w:proofErr w:type="spellStart"/>
            <w:r w:rsidRPr="00140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Juchar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tz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Classical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tehniques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and contemporary arguments, Chapter I, London: Аllyn &amp; Bacon, Longman</w:t>
            </w:r>
            <w:r w:rsidR="0023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2007.</w:t>
            </w:r>
          </w:p>
          <w:p w:rsidR="00235A44" w:rsidRPr="00140AD9" w:rsidRDefault="00140AD9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140A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Cr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y</w:t>
            </w:r>
            <w:r w:rsidR="0023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stal D., Language death, London: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Cambridge University Press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</w:t>
            </w:r>
            <w:r w:rsidR="00235A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2000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.</w:t>
            </w:r>
          </w:p>
          <w:p w:rsidR="008A7EB0" w:rsidRDefault="00140AD9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ERIC Database and Thesaurus, Lan</w:t>
            </w:r>
            <w:r w:rsidR="00D532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guage and Speech, Institute of 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ducational Sciences, </w:t>
            </w:r>
            <w:hyperlink r:id="rId5" w:history="1">
              <w:r w:rsidR="00235A44" w:rsidRPr="00711FCC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val="sr-Cyrl-CS" w:eastAsia="sr-Latn-CS"/>
                </w:rPr>
                <w:t>http://eric.ed.gov/?ti=450</w:t>
              </w:r>
            </w:hyperlink>
          </w:p>
          <w:p w:rsidR="00C209AE" w:rsidRDefault="00C209AE" w:rsidP="00C209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Pavle Ivić, Standard language as an instrument of culture and the product of national history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 Chapter from the book </w:t>
            </w: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"The history of Serbian Culture"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Edgware, Middiesex: </w:t>
            </w: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Porthill Publishers,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r w:rsidRPr="00C209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1995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</w:t>
            </w:r>
            <w:hyperlink r:id="rId6" w:history="1">
              <w:r w:rsidR="00E16270" w:rsidRPr="0059113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sr-Latn-CS"/>
                </w:rPr>
                <w:t>http://www.rastko.rs/isk/pivic-standard_language.html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</w:p>
          <w:p w:rsidR="00E16270" w:rsidRPr="00C209AE" w:rsidRDefault="00E16270" w:rsidP="00C209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Penelope E. and J.</w:t>
            </w:r>
            <w:r w:rsidRPr="00E16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R. Rickford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Style and Sociolinguistic Variation, </w:t>
            </w:r>
            <w:r w:rsidRPr="00E16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Part 4 Functionally motivated situational variation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</w:t>
            </w:r>
            <w:r w:rsidRPr="00E16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New York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:</w:t>
            </w:r>
            <w:r w:rsidRPr="00E162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Cambridge University Press,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2001, </w:t>
            </w:r>
            <w:hyperlink r:id="rId7" w:history="1">
              <w:r w:rsidRPr="0059113E">
                <w:rPr>
                  <w:rStyle w:val="Hyperlink"/>
                  <w:rFonts w:ascii="Times New Roman" w:eastAsia="Times New Roman" w:hAnsi="Times New Roman" w:cs="Times New Roman"/>
                  <w:bCs/>
                  <w:sz w:val="20"/>
                  <w:szCs w:val="20"/>
                  <w:lang w:eastAsia="sr-Latn-CS"/>
                </w:rPr>
                <w:t>http://www.pdfdrive.net/style-and-sociolinguistic-variation-e8280859.html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</w:p>
          <w:p w:rsidR="00235A44" w:rsidRPr="00235A44" w:rsidRDefault="00235A44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227"/>
        </w:trPr>
        <w:tc>
          <w:tcPr>
            <w:tcW w:w="7508" w:type="dxa"/>
            <w:gridSpan w:val="4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 of active teaching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hours</w:t>
            </w:r>
          </w:p>
        </w:tc>
        <w:tc>
          <w:tcPr>
            <w:tcW w:w="3090" w:type="dxa"/>
            <w:vMerge w:val="restart"/>
            <w:vAlign w:val="center"/>
          </w:tcPr>
          <w:p w:rsidR="008A7EB0" w:rsidRPr="00261959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Other classes</w:t>
            </w:r>
            <w:r w:rsidR="002619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r-Latn-CS"/>
              </w:rPr>
              <w:t xml:space="preserve">: </w:t>
            </w:r>
            <w:r w:rsidR="00261959" w:rsidRPr="00261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/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227"/>
        </w:trPr>
        <w:tc>
          <w:tcPr>
            <w:tcW w:w="1540" w:type="dxa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Lectures:</w:t>
            </w:r>
          </w:p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545" w:type="dxa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Practice:</w:t>
            </w:r>
          </w:p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15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155" w:type="dxa"/>
            <w:vAlign w:val="center"/>
          </w:tcPr>
          <w:p w:rsidR="008A7EB0" w:rsidRPr="00261959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 forms of classes</w:t>
            </w:r>
            <w:r w:rsidR="002619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: /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vAlign w:val="center"/>
          </w:tcPr>
          <w:p w:rsid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Independent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work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261959" w:rsidRPr="00261959" w:rsidRDefault="00261959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/</w:t>
            </w:r>
          </w:p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90" w:type="dxa"/>
            <w:vMerge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Teaching methods </w:t>
            </w:r>
          </w:p>
          <w:p w:rsidR="008A7EB0" w:rsidRPr="00261959" w:rsidRDefault="00261959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 w:eastAsia="sr-Latn-CS"/>
              </w:rPr>
              <w:t>Lectures</w:t>
            </w:r>
          </w:p>
        </w:tc>
      </w:tr>
      <w:tr w:rsidR="008A7EB0" w:rsidRPr="008A7EB0" w:rsidTr="00261959">
        <w:trPr>
          <w:trHeight w:val="227"/>
        </w:trPr>
        <w:tc>
          <w:tcPr>
            <w:tcW w:w="10598" w:type="dxa"/>
            <w:gridSpan w:val="5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 methods (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 100 points)</w:t>
            </w:r>
          </w:p>
        </w:tc>
      </w:tr>
      <w:tr w:rsidR="008A7EB0" w:rsidRPr="008A7EB0" w:rsidTr="00261959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Exam p</w:t>
            </w: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requisites</w:t>
            </w:r>
          </w:p>
        </w:tc>
        <w:tc>
          <w:tcPr>
            <w:tcW w:w="2155" w:type="dxa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Final exam</w:t>
            </w: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No. of points:</w:t>
            </w:r>
          </w:p>
        </w:tc>
      </w:tr>
      <w:tr w:rsidR="008A7EB0" w:rsidRPr="008A7EB0" w:rsidTr="00261959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Student’s a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 during lectures</w:t>
            </w:r>
          </w:p>
        </w:tc>
        <w:tc>
          <w:tcPr>
            <w:tcW w:w="2155" w:type="dxa"/>
            <w:vAlign w:val="center"/>
          </w:tcPr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 examination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 classes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/tests</w:t>
            </w:r>
          </w:p>
        </w:tc>
        <w:tc>
          <w:tcPr>
            <w:tcW w:w="2155" w:type="dxa"/>
            <w:vAlign w:val="center"/>
          </w:tcPr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50</w:t>
            </w:r>
          </w:p>
        </w:tc>
      </w:tr>
      <w:tr w:rsidR="008A7EB0" w:rsidRPr="008A7EB0" w:rsidTr="00261959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Seminars/homework</w:t>
            </w:r>
          </w:p>
        </w:tc>
        <w:tc>
          <w:tcPr>
            <w:tcW w:w="2155" w:type="dxa"/>
            <w:vAlign w:val="center"/>
          </w:tcPr>
          <w:p w:rsidR="008A7EB0" w:rsidRPr="008A7EB0" w:rsidRDefault="00843A98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155" w:type="dxa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261959">
        <w:trPr>
          <w:trHeight w:val="227"/>
        </w:trPr>
        <w:tc>
          <w:tcPr>
            <w:tcW w:w="3085" w:type="dxa"/>
            <w:gridSpan w:val="2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Other</w:t>
            </w:r>
          </w:p>
        </w:tc>
        <w:tc>
          <w:tcPr>
            <w:tcW w:w="2155" w:type="dxa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8A7EB0" w:rsidRPr="008A7EB0" w:rsidRDefault="008A7EB0" w:rsidP="008A7E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F36A8E" w:rsidRDefault="004F77E9"/>
    <w:tbl>
      <w:tblPr>
        <w:tblStyle w:val="TableGrid1"/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3215"/>
        <w:gridCol w:w="3265"/>
        <w:gridCol w:w="3267"/>
      </w:tblGrid>
      <w:tr w:rsidR="002120D6" w:rsidRPr="004F77E9" w:rsidTr="00090259">
        <w:trPr>
          <w:trHeight w:hRule="exact" w:val="325"/>
          <w:jc w:val="center"/>
        </w:trPr>
        <w:tc>
          <w:tcPr>
            <w:tcW w:w="9747" w:type="dxa"/>
            <w:gridSpan w:val="3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4F77E9">
              <w:rPr>
                <w:rFonts w:ascii="Times New Roman" w:eastAsia="Times New Roman" w:hAnsi="Times New Roman"/>
                <w:b/>
                <w:szCs w:val="20"/>
              </w:rPr>
              <w:lastRenderedPageBreak/>
              <w:t>Gr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a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d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i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ng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s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ys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t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em</w:t>
            </w:r>
          </w:p>
        </w:tc>
      </w:tr>
      <w:tr w:rsidR="002120D6" w:rsidRPr="004F77E9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4F77E9">
              <w:rPr>
                <w:rFonts w:ascii="Times New Roman" w:eastAsia="Times New Roman" w:hAnsi="Times New Roman"/>
                <w:b/>
                <w:szCs w:val="20"/>
              </w:rPr>
              <w:t>Gr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a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de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4F77E9">
              <w:rPr>
                <w:rFonts w:ascii="Times New Roman" w:eastAsia="Times New Roman" w:hAnsi="Times New Roman"/>
                <w:b/>
                <w:szCs w:val="20"/>
              </w:rPr>
              <w:t>Number of points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4F77E9">
              <w:rPr>
                <w:rFonts w:ascii="Times New Roman" w:eastAsia="Times New Roman" w:hAnsi="Times New Roman"/>
                <w:b/>
                <w:szCs w:val="20"/>
              </w:rPr>
              <w:t>De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s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cr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i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p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t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io</w:t>
            </w:r>
            <w:r w:rsidRPr="004F77E9">
              <w:rPr>
                <w:rFonts w:ascii="Times New Roman" w:eastAsia="Times New Roman" w:hAnsi="Times New Roman"/>
                <w:b/>
                <w:szCs w:val="20"/>
              </w:rPr>
              <w:t>n</w:t>
            </w:r>
          </w:p>
        </w:tc>
      </w:tr>
      <w:tr w:rsidR="002120D6" w:rsidRPr="004F77E9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1</w:t>
            </w:r>
            <w:r w:rsidRPr="004F77E9">
              <w:rPr>
                <w:rFonts w:ascii="Times New Roman" w:eastAsia="Times New Roman" w:hAnsi="Times New Roman"/>
                <w:szCs w:val="20"/>
              </w:rPr>
              <w:t>0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91</w:t>
            </w:r>
            <w:r w:rsidRPr="004F77E9">
              <w:rPr>
                <w:rFonts w:ascii="Times New Roman" w:eastAsia="Times New Roman" w:hAnsi="Times New Roman"/>
                <w:szCs w:val="20"/>
              </w:rPr>
              <w:t>-100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E</w:t>
            </w:r>
            <w:r w:rsidRPr="004F77E9">
              <w:rPr>
                <w:rFonts w:ascii="Times New Roman" w:eastAsia="Times New Roman" w:hAnsi="Times New Roman"/>
                <w:szCs w:val="20"/>
              </w:rPr>
              <w:t>x</w:t>
            </w:r>
            <w:r w:rsidRPr="004F77E9">
              <w:rPr>
                <w:rFonts w:ascii="Times New Roman" w:eastAsia="Times New Roman" w:hAnsi="Times New Roman"/>
                <w:szCs w:val="20"/>
              </w:rPr>
              <w:t>ce</w:t>
            </w:r>
            <w:r w:rsidRPr="004F77E9">
              <w:rPr>
                <w:rFonts w:ascii="Times New Roman" w:eastAsia="Times New Roman" w:hAnsi="Times New Roman"/>
                <w:szCs w:val="20"/>
              </w:rPr>
              <w:t>l</w:t>
            </w:r>
            <w:r w:rsidRPr="004F77E9">
              <w:rPr>
                <w:rFonts w:ascii="Times New Roman" w:eastAsia="Times New Roman" w:hAnsi="Times New Roman"/>
                <w:szCs w:val="20"/>
              </w:rPr>
              <w:t>l</w:t>
            </w:r>
            <w:r w:rsidRPr="004F77E9">
              <w:rPr>
                <w:rFonts w:ascii="Times New Roman" w:eastAsia="Times New Roman" w:hAnsi="Times New Roman"/>
                <w:szCs w:val="20"/>
              </w:rPr>
              <w:t>ent</w:t>
            </w:r>
          </w:p>
        </w:tc>
      </w:tr>
      <w:tr w:rsidR="002120D6" w:rsidRPr="004F77E9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9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81</w:t>
            </w:r>
            <w:r w:rsidRPr="004F77E9">
              <w:rPr>
                <w:rFonts w:ascii="Times New Roman" w:eastAsia="Times New Roman" w:hAnsi="Times New Roman"/>
                <w:szCs w:val="20"/>
              </w:rPr>
              <w:t>-90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E</w:t>
            </w:r>
            <w:r w:rsidRPr="004F77E9">
              <w:rPr>
                <w:rFonts w:ascii="Times New Roman" w:eastAsia="Times New Roman" w:hAnsi="Times New Roman"/>
                <w:szCs w:val="20"/>
              </w:rPr>
              <w:t>xcep</w:t>
            </w:r>
            <w:r w:rsidRPr="004F77E9">
              <w:rPr>
                <w:rFonts w:ascii="Times New Roman" w:eastAsia="Times New Roman" w:hAnsi="Times New Roman"/>
                <w:szCs w:val="20"/>
              </w:rPr>
              <w:t>t</w:t>
            </w:r>
            <w:r w:rsidRPr="004F77E9">
              <w:rPr>
                <w:rFonts w:ascii="Times New Roman" w:eastAsia="Times New Roman" w:hAnsi="Times New Roman"/>
                <w:szCs w:val="20"/>
              </w:rPr>
              <w:t>io</w:t>
            </w:r>
            <w:r w:rsidRPr="004F77E9">
              <w:rPr>
                <w:rFonts w:ascii="Times New Roman" w:eastAsia="Times New Roman" w:hAnsi="Times New Roman"/>
                <w:szCs w:val="20"/>
              </w:rPr>
              <w:t>n</w:t>
            </w:r>
            <w:r w:rsidRPr="004F77E9">
              <w:rPr>
                <w:rFonts w:ascii="Times New Roman" w:eastAsia="Times New Roman" w:hAnsi="Times New Roman"/>
                <w:szCs w:val="20"/>
              </w:rPr>
              <w:t>a</w:t>
            </w:r>
            <w:r w:rsidRPr="004F77E9">
              <w:rPr>
                <w:rFonts w:ascii="Times New Roman" w:eastAsia="Times New Roman" w:hAnsi="Times New Roman"/>
                <w:szCs w:val="20"/>
              </w:rPr>
              <w:t>l</w:t>
            </w:r>
            <w:r w:rsidRPr="004F77E9">
              <w:rPr>
                <w:rFonts w:ascii="Times New Roman" w:eastAsia="Times New Roman" w:hAnsi="Times New Roman"/>
                <w:szCs w:val="20"/>
              </w:rPr>
              <w:t>l</w:t>
            </w:r>
            <w:r w:rsidRPr="004F77E9">
              <w:rPr>
                <w:rFonts w:ascii="Times New Roman" w:eastAsia="Times New Roman" w:hAnsi="Times New Roman"/>
                <w:szCs w:val="20"/>
              </w:rPr>
              <w:t>y</w:t>
            </w:r>
            <w:r w:rsidRPr="004F77E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4F77E9">
              <w:rPr>
                <w:rFonts w:ascii="Times New Roman" w:eastAsia="Times New Roman" w:hAnsi="Times New Roman"/>
                <w:szCs w:val="20"/>
              </w:rPr>
              <w:t>g</w:t>
            </w:r>
            <w:r w:rsidRPr="004F77E9">
              <w:rPr>
                <w:rFonts w:ascii="Times New Roman" w:eastAsia="Times New Roman" w:hAnsi="Times New Roman"/>
                <w:szCs w:val="20"/>
              </w:rPr>
              <w:t>oo</w:t>
            </w:r>
            <w:r w:rsidRPr="004F77E9">
              <w:rPr>
                <w:rFonts w:ascii="Times New Roman" w:eastAsia="Times New Roman" w:hAnsi="Times New Roman"/>
                <w:szCs w:val="20"/>
              </w:rPr>
              <w:t>d</w:t>
            </w:r>
          </w:p>
        </w:tc>
      </w:tr>
      <w:tr w:rsidR="002120D6" w:rsidRPr="004F77E9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8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71</w:t>
            </w:r>
            <w:r w:rsidRPr="004F77E9">
              <w:rPr>
                <w:rFonts w:ascii="Times New Roman" w:eastAsia="Times New Roman" w:hAnsi="Times New Roman"/>
                <w:szCs w:val="20"/>
              </w:rPr>
              <w:t>-80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V</w:t>
            </w:r>
            <w:r w:rsidRPr="004F77E9">
              <w:rPr>
                <w:rFonts w:ascii="Times New Roman" w:eastAsia="Times New Roman" w:hAnsi="Times New Roman"/>
                <w:szCs w:val="20"/>
              </w:rPr>
              <w:t>e</w:t>
            </w:r>
            <w:r w:rsidRPr="004F77E9">
              <w:rPr>
                <w:rFonts w:ascii="Times New Roman" w:eastAsia="Times New Roman" w:hAnsi="Times New Roman"/>
                <w:szCs w:val="20"/>
              </w:rPr>
              <w:t>r</w:t>
            </w:r>
            <w:r w:rsidRPr="004F77E9">
              <w:rPr>
                <w:rFonts w:ascii="Times New Roman" w:eastAsia="Times New Roman" w:hAnsi="Times New Roman"/>
                <w:szCs w:val="20"/>
              </w:rPr>
              <w:t>y</w:t>
            </w:r>
            <w:r w:rsidRPr="004F77E9">
              <w:rPr>
                <w:rFonts w:ascii="Times New Roman" w:eastAsia="Times New Roman" w:hAnsi="Times New Roman"/>
                <w:szCs w:val="20"/>
              </w:rPr>
              <w:t xml:space="preserve"> </w:t>
            </w:r>
            <w:r w:rsidRPr="004F77E9">
              <w:rPr>
                <w:rFonts w:ascii="Times New Roman" w:eastAsia="Times New Roman" w:hAnsi="Times New Roman"/>
                <w:szCs w:val="20"/>
              </w:rPr>
              <w:t>go</w:t>
            </w:r>
            <w:r w:rsidRPr="004F77E9">
              <w:rPr>
                <w:rFonts w:ascii="Times New Roman" w:eastAsia="Times New Roman" w:hAnsi="Times New Roman"/>
                <w:szCs w:val="20"/>
              </w:rPr>
              <w:t>o</w:t>
            </w:r>
            <w:r w:rsidRPr="004F77E9">
              <w:rPr>
                <w:rFonts w:ascii="Times New Roman" w:eastAsia="Times New Roman" w:hAnsi="Times New Roman"/>
                <w:szCs w:val="20"/>
              </w:rPr>
              <w:t>d</w:t>
            </w:r>
          </w:p>
        </w:tc>
      </w:tr>
      <w:tr w:rsidR="002120D6" w:rsidRPr="004F77E9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7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61</w:t>
            </w:r>
            <w:r w:rsidRPr="004F77E9">
              <w:rPr>
                <w:rFonts w:ascii="Times New Roman" w:eastAsia="Times New Roman" w:hAnsi="Times New Roman"/>
                <w:szCs w:val="20"/>
              </w:rPr>
              <w:t>-70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Go</w:t>
            </w:r>
            <w:r w:rsidRPr="004F77E9">
              <w:rPr>
                <w:rFonts w:ascii="Times New Roman" w:eastAsia="Times New Roman" w:hAnsi="Times New Roman"/>
                <w:szCs w:val="20"/>
              </w:rPr>
              <w:t>o</w:t>
            </w:r>
            <w:r w:rsidRPr="004F77E9">
              <w:rPr>
                <w:rFonts w:ascii="Times New Roman" w:eastAsia="Times New Roman" w:hAnsi="Times New Roman"/>
                <w:szCs w:val="20"/>
              </w:rPr>
              <w:t>d</w:t>
            </w:r>
          </w:p>
        </w:tc>
      </w:tr>
      <w:tr w:rsidR="002120D6" w:rsidRPr="004F77E9" w:rsidTr="00090259">
        <w:trPr>
          <w:trHeight w:hRule="exact" w:val="325"/>
          <w:jc w:val="center"/>
        </w:trPr>
        <w:tc>
          <w:tcPr>
            <w:tcW w:w="321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6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51</w:t>
            </w:r>
            <w:r w:rsidRPr="004F77E9">
              <w:rPr>
                <w:rFonts w:ascii="Times New Roman" w:eastAsia="Times New Roman" w:hAnsi="Times New Roman"/>
                <w:szCs w:val="20"/>
              </w:rPr>
              <w:t>-60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P</w:t>
            </w:r>
            <w:r w:rsidRPr="004F77E9">
              <w:rPr>
                <w:rFonts w:ascii="Times New Roman" w:eastAsia="Times New Roman" w:hAnsi="Times New Roman"/>
                <w:szCs w:val="20"/>
              </w:rPr>
              <w:t>as</w:t>
            </w:r>
            <w:r w:rsidRPr="004F77E9">
              <w:rPr>
                <w:rFonts w:ascii="Times New Roman" w:eastAsia="Times New Roman" w:hAnsi="Times New Roman"/>
                <w:szCs w:val="20"/>
              </w:rPr>
              <w:t>s</w:t>
            </w:r>
            <w:r w:rsidRPr="004F77E9">
              <w:rPr>
                <w:rFonts w:ascii="Times New Roman" w:eastAsia="Times New Roman" w:hAnsi="Times New Roman"/>
                <w:szCs w:val="20"/>
              </w:rPr>
              <w:t>in</w:t>
            </w:r>
            <w:r w:rsidRPr="004F77E9">
              <w:rPr>
                <w:rFonts w:ascii="Times New Roman" w:eastAsia="Times New Roman" w:hAnsi="Times New Roman"/>
                <w:szCs w:val="20"/>
              </w:rPr>
              <w:t>g</w:t>
            </w:r>
          </w:p>
        </w:tc>
      </w:tr>
      <w:tr w:rsidR="002120D6" w:rsidRPr="004F77E9" w:rsidTr="00090259">
        <w:trPr>
          <w:trHeight w:hRule="exact" w:val="324"/>
          <w:jc w:val="center"/>
        </w:trPr>
        <w:tc>
          <w:tcPr>
            <w:tcW w:w="321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5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≤50</w:t>
            </w:r>
          </w:p>
        </w:tc>
        <w:tc>
          <w:tcPr>
            <w:tcW w:w="3265" w:type="dxa"/>
          </w:tcPr>
          <w:p w:rsidR="002120D6" w:rsidRPr="004F77E9" w:rsidRDefault="004F77E9" w:rsidP="004F77E9">
            <w:pPr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4F77E9">
              <w:rPr>
                <w:rFonts w:ascii="Times New Roman" w:eastAsia="Times New Roman" w:hAnsi="Times New Roman"/>
                <w:szCs w:val="20"/>
              </w:rPr>
              <w:t>F</w:t>
            </w:r>
            <w:r w:rsidRPr="004F77E9">
              <w:rPr>
                <w:rFonts w:ascii="Times New Roman" w:eastAsia="Times New Roman" w:hAnsi="Times New Roman"/>
                <w:szCs w:val="20"/>
              </w:rPr>
              <w:t>a</w:t>
            </w:r>
            <w:r w:rsidRPr="004F77E9">
              <w:rPr>
                <w:rFonts w:ascii="Times New Roman" w:eastAsia="Times New Roman" w:hAnsi="Times New Roman"/>
                <w:szCs w:val="20"/>
              </w:rPr>
              <w:t>i</w:t>
            </w:r>
            <w:r w:rsidRPr="004F77E9">
              <w:rPr>
                <w:rFonts w:ascii="Times New Roman" w:eastAsia="Times New Roman" w:hAnsi="Times New Roman"/>
                <w:szCs w:val="20"/>
              </w:rPr>
              <w:t>ling</w:t>
            </w:r>
          </w:p>
        </w:tc>
      </w:tr>
    </w:tbl>
    <w:p w:rsidR="004F77E9" w:rsidRDefault="004F77E9">
      <w:bookmarkStart w:id="0" w:name="_GoBack"/>
      <w:bookmarkEnd w:id="0"/>
    </w:p>
    <w:sectPr w:rsidR="004F77E9" w:rsidSect="002619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EB0"/>
    <w:rsid w:val="000E493A"/>
    <w:rsid w:val="00140AD9"/>
    <w:rsid w:val="00235A44"/>
    <w:rsid w:val="00261959"/>
    <w:rsid w:val="004303F4"/>
    <w:rsid w:val="004F77E9"/>
    <w:rsid w:val="005605A2"/>
    <w:rsid w:val="0070114C"/>
    <w:rsid w:val="007520BB"/>
    <w:rsid w:val="00843A98"/>
    <w:rsid w:val="008A7EB0"/>
    <w:rsid w:val="00A127D9"/>
    <w:rsid w:val="00AF3EEC"/>
    <w:rsid w:val="00C209AE"/>
    <w:rsid w:val="00C862A0"/>
    <w:rsid w:val="00D53235"/>
    <w:rsid w:val="00E16270"/>
    <w:rsid w:val="00F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58097-8176-43D1-8CA5-73CB7947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A4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F77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7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fdrive.net/style-and-sociolinguistic-variation-e828085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tko.rs/isk/pivic-standard_language.html" TargetMode="External"/><Relationship Id="rId5" Type="http://schemas.openxmlformats.org/officeDocument/2006/relationships/hyperlink" Target="http://eric.ed.gov/?ti=4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0FDB-2DD2-48E0-A7B5-449E16D7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9</cp:revision>
  <dcterms:created xsi:type="dcterms:W3CDTF">2015-06-21T17:25:00Z</dcterms:created>
  <dcterms:modified xsi:type="dcterms:W3CDTF">2019-02-25T09:34:00Z</dcterms:modified>
</cp:coreProperties>
</file>