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FDB" w:rsidRDefault="00A74FDB" w:rsidP="00A74FDB">
      <w:pPr>
        <w:spacing w:line="276" w:lineRule="auto"/>
        <w:jc w:val="both"/>
      </w:pPr>
      <w:r>
        <w:t>RAZVOJNA PSIHOLOGIJA, smerovi PV i DV</w:t>
      </w:r>
    </w:p>
    <w:p w:rsidR="008962A5" w:rsidRDefault="008962A5" w:rsidP="00A74FDB">
      <w:pPr>
        <w:spacing w:line="276" w:lineRule="auto"/>
        <w:jc w:val="both"/>
      </w:pPr>
    </w:p>
    <w:p w:rsidR="008962A5" w:rsidRDefault="008962A5" w:rsidP="00A74FDB">
      <w:pPr>
        <w:spacing w:line="276" w:lineRule="auto"/>
        <w:jc w:val="both"/>
      </w:pPr>
      <w:r>
        <w:t>Sadržaj:</w:t>
      </w:r>
    </w:p>
    <w:p w:rsidR="008962A5" w:rsidRDefault="008962A5" w:rsidP="008962A5">
      <w:pPr>
        <w:pStyle w:val="ListParagraph"/>
        <w:numPr>
          <w:ilvl w:val="0"/>
          <w:numId w:val="5"/>
        </w:numPr>
        <w:spacing w:line="276" w:lineRule="auto"/>
        <w:jc w:val="both"/>
      </w:pPr>
      <w:r>
        <w:t>Th uvod</w:t>
      </w:r>
    </w:p>
    <w:p w:rsidR="008962A5" w:rsidRDefault="008962A5" w:rsidP="008962A5">
      <w:pPr>
        <w:pStyle w:val="ListParagraph"/>
        <w:numPr>
          <w:ilvl w:val="0"/>
          <w:numId w:val="5"/>
        </w:numPr>
        <w:spacing w:line="276" w:lineRule="auto"/>
        <w:jc w:val="both"/>
      </w:pPr>
      <w:r>
        <w:t xml:space="preserve">Zadatak </w:t>
      </w:r>
    </w:p>
    <w:p w:rsidR="00D8771A" w:rsidRDefault="008962A5" w:rsidP="00C54880">
      <w:pPr>
        <w:spacing w:line="276" w:lineRule="auto"/>
        <w:jc w:val="center"/>
        <w:rPr>
          <w:b/>
        </w:rPr>
      </w:pPr>
      <w:r>
        <w:t>Th uvod</w:t>
      </w:r>
      <w:r w:rsidR="00767591" w:rsidRPr="00767591">
        <w:t>:</w:t>
      </w:r>
      <w:r w:rsidR="00767591">
        <w:rPr>
          <w:b/>
        </w:rPr>
        <w:t xml:space="preserve"> </w:t>
      </w:r>
      <w:r w:rsidR="00C54880" w:rsidRPr="00C54880">
        <w:rPr>
          <w:b/>
        </w:rPr>
        <w:t>Etika istraživanja u psihologiji</w:t>
      </w:r>
    </w:p>
    <w:p w:rsidR="00C54880" w:rsidRPr="00C54880" w:rsidRDefault="00C54880" w:rsidP="00C54880">
      <w:pPr>
        <w:spacing w:line="276" w:lineRule="auto"/>
        <w:jc w:val="center"/>
        <w:rPr>
          <w:b/>
        </w:rPr>
      </w:pPr>
    </w:p>
    <w:p w:rsidR="00FA66BB" w:rsidRPr="00C54880" w:rsidRDefault="00C54880" w:rsidP="00D82CFA">
      <w:pPr>
        <w:spacing w:line="276" w:lineRule="auto"/>
        <w:jc w:val="both"/>
        <w:rPr>
          <w:i/>
        </w:rPr>
      </w:pPr>
      <w:r w:rsidRPr="00C54880">
        <w:rPr>
          <w:i/>
          <w:lang w:val="sr-Latn-RS"/>
        </w:rPr>
        <w:t xml:space="preserve">Korišćeni izvodi iz </w:t>
      </w:r>
      <w:r w:rsidR="00FA66BB" w:rsidRPr="00C54880">
        <w:rPr>
          <w:i/>
        </w:rPr>
        <w:t>knjige Metode istraživanja u obrazovanju</w:t>
      </w:r>
      <w:r w:rsidR="00FA66BB" w:rsidRPr="00C54880">
        <w:rPr>
          <w:rStyle w:val="FootnoteReference"/>
          <w:i/>
        </w:rPr>
        <w:footnoteReference w:id="1"/>
      </w:r>
    </w:p>
    <w:p w:rsidR="00FA66BB" w:rsidRDefault="00FA66BB" w:rsidP="00D82CFA">
      <w:pPr>
        <w:spacing w:line="276" w:lineRule="auto"/>
        <w:jc w:val="both"/>
      </w:pPr>
    </w:p>
    <w:p w:rsidR="00EF4376" w:rsidRDefault="00B73A50" w:rsidP="00C54880">
      <w:pPr>
        <w:spacing w:line="276" w:lineRule="auto"/>
        <w:ind w:firstLine="720"/>
        <w:jc w:val="both"/>
      </w:pPr>
      <w:r>
        <w:t xml:space="preserve">Prema Američkoj psihološkoj asocijaciji (APA, 2002), etički kodeks psihologa bi trebalo da obezbedi posebne standarde koji pokrivaju većinu situacija koje preduzimaju psiholozi ... </w:t>
      </w:r>
      <w:proofErr w:type="gramStart"/>
      <w:r>
        <w:t>sa</w:t>
      </w:r>
      <w:proofErr w:type="gramEnd"/>
      <w:r>
        <w:t xml:space="preserve"> ciljem da se obezbedi dobrobit i i zaštita individua i grupa sa kojima psiholozi rade</w:t>
      </w:r>
      <w:r w:rsidR="00EF4376">
        <w:t>.</w:t>
      </w:r>
    </w:p>
    <w:p w:rsidR="00B73A50" w:rsidRDefault="00EF4376" w:rsidP="00C54880">
      <w:pPr>
        <w:spacing w:line="276" w:lineRule="auto"/>
        <w:ind w:firstLine="720"/>
        <w:jc w:val="both"/>
      </w:pPr>
      <w:r>
        <w:t xml:space="preserve">Poštovanje etičkih principa u istraživanju zasnovanio je </w:t>
      </w:r>
      <w:proofErr w:type="gramStart"/>
      <w:r>
        <w:t>na</w:t>
      </w:r>
      <w:proofErr w:type="gramEnd"/>
      <w:r>
        <w:t xml:space="preserve"> više principa. Pomenućemo neke:  </w:t>
      </w:r>
    </w:p>
    <w:p w:rsidR="00FB33E9" w:rsidRDefault="00FB33E9" w:rsidP="00D82CFA">
      <w:pPr>
        <w:spacing w:line="276" w:lineRule="auto"/>
        <w:jc w:val="both"/>
      </w:pPr>
    </w:p>
    <w:p w:rsidR="002D2136" w:rsidRDefault="00FB33E9" w:rsidP="00D82CFA">
      <w:pPr>
        <w:pStyle w:val="ListParagraph"/>
        <w:numPr>
          <w:ilvl w:val="0"/>
          <w:numId w:val="2"/>
        </w:numPr>
        <w:spacing w:line="276" w:lineRule="auto"/>
        <w:ind w:left="0" w:firstLine="0"/>
        <w:jc w:val="both"/>
      </w:pPr>
      <w:r w:rsidRPr="002D2136">
        <w:rPr>
          <w:b/>
        </w:rPr>
        <w:t>Odnos uloženog i dobiti.</w:t>
      </w:r>
      <w:r>
        <w:t xml:space="preserve"> Ako istraživanje donese ispitanicima iskustvo neuspeha, izolacije i gubitka, istraživači se moraju pobrinuti da oni ne izađu iz situacije poniženi, nesigurniji, otuđeniji nego što su bili </w:t>
      </w:r>
      <w:proofErr w:type="gramStart"/>
      <w:r>
        <w:t>na</w:t>
      </w:r>
      <w:proofErr w:type="gramEnd"/>
      <w:r>
        <w:t xml:space="preserve"> početku. Postupci u istraživanju koji uključuju gubitak dostojanstva, povredu samopoštovanja i umanjuju poverenje verovarno su dugoročno najštetniji za pojedinca i traže planiranu, organizovanu stručnu pomoć koja </w:t>
      </w:r>
      <w:proofErr w:type="gramStart"/>
      <w:r>
        <w:t>će</w:t>
      </w:r>
      <w:proofErr w:type="gramEnd"/>
      <w:r>
        <w:t xml:space="preserve"> umanjiti učinjenu štetu (recimo, iz Milgramovog eksperimenta</w:t>
      </w:r>
      <w:r w:rsidR="002D2136">
        <w:rPr>
          <w:rStyle w:val="FootnoteReference"/>
        </w:rPr>
        <w:footnoteReference w:id="2"/>
      </w:r>
      <w:r>
        <w:t xml:space="preserve"> sigurno su neki izašli sa nižim samopoštovanjem). </w:t>
      </w:r>
    </w:p>
    <w:p w:rsidR="002D2136" w:rsidRDefault="00FB33E9" w:rsidP="00D82CFA">
      <w:pPr>
        <w:pStyle w:val="ListParagraph"/>
        <w:numPr>
          <w:ilvl w:val="0"/>
          <w:numId w:val="2"/>
        </w:numPr>
        <w:spacing w:line="276" w:lineRule="auto"/>
        <w:ind w:left="0" w:firstLine="0"/>
        <w:jc w:val="both"/>
      </w:pPr>
      <w:r w:rsidRPr="002D2136">
        <w:rPr>
          <w:b/>
        </w:rPr>
        <w:t>Svesni dobrovoljni pristanak (dobrovoljnost)</w:t>
      </w:r>
      <w:r>
        <w:t xml:space="preserve">: mora se dobiti pristanak i saradnja ispitanika </w:t>
      </w:r>
      <w:proofErr w:type="gramStart"/>
      <w:r>
        <w:t>ali</w:t>
      </w:r>
      <w:proofErr w:type="gramEnd"/>
      <w:r>
        <w:t xml:space="preserve"> i partnera, ustanova i institucija koje nude mogućnost istraživanja. (Razmislite Koja ljudska prava su osnova za ovo?) Svesni pristanak mora se garantovati u istraživanjima u kojima ispitanika izlažemo patnji, fizičkoj </w:t>
      </w:r>
      <w:proofErr w:type="gramStart"/>
      <w:r>
        <w:t>ili</w:t>
      </w:r>
      <w:proofErr w:type="gramEnd"/>
      <w:r>
        <w:t xml:space="preserve"> emotivnoj povredi, ulaženju u privatnost, fizičkom ili mentalnom stresu i kad se od njih traži da se privremeno odreknu svoje autonomije (kao kod istraživanja koja uključuju upotrebu droge). Ispitanici moraju biti sigurni da je njihovo učešće dobrovoljno, trebalo bi da znaju rizike, opasnosti, posledice... Načelo svesnog pristanka izvire iz ispitanikovog prava </w:t>
      </w:r>
      <w:proofErr w:type="gramStart"/>
      <w:r>
        <w:t>na</w:t>
      </w:r>
      <w:proofErr w:type="gramEnd"/>
      <w:r>
        <w:t xml:space="preserve"> slobodu izbora i samoopredeljenje. Biti slobodan je način života u demokratiji i kad se toj slobodi nameću ograničenja ona se moraju opravdati i prihvatiti u istraživanju. Pristanak tako poštuje pravo </w:t>
      </w:r>
      <w:proofErr w:type="gramStart"/>
      <w:r>
        <w:t>na</w:t>
      </w:r>
      <w:proofErr w:type="gramEnd"/>
      <w:r>
        <w:t xml:space="preserve"> samoodređenje i deo odgovornosti se prenosi na </w:t>
      </w:r>
      <w:r>
        <w:lastRenderedPageBreak/>
        <w:t xml:space="preserve">ispitanika ako nesto krene po zlu u istraživanju. Drugi aspekt prava </w:t>
      </w:r>
      <w:proofErr w:type="gramStart"/>
      <w:r>
        <w:t>na</w:t>
      </w:r>
      <w:proofErr w:type="gramEnd"/>
      <w:r>
        <w:t xml:space="preserve"> samoopredeljenje je i to da ispitanik ima pravo da odbije učešće ili da se povuče kad je istraživanje već započelo. </w:t>
      </w:r>
    </w:p>
    <w:p w:rsidR="002D2136" w:rsidRDefault="00FB33E9" w:rsidP="00D82CFA">
      <w:pPr>
        <w:pStyle w:val="ListParagraph"/>
        <w:spacing w:line="276" w:lineRule="auto"/>
        <w:ind w:left="0"/>
        <w:jc w:val="both"/>
      </w:pPr>
      <w:r>
        <w:t xml:space="preserve">Svesni pristanak podrazumeva četiri elementa koja bi trebalo da su ispunjeni: </w:t>
      </w:r>
    </w:p>
    <w:p w:rsidR="002D2136" w:rsidRDefault="00FB33E9" w:rsidP="00A12741">
      <w:pPr>
        <w:pStyle w:val="ListParagraph"/>
        <w:spacing w:line="276" w:lineRule="auto"/>
        <w:ind w:left="0" w:firstLine="720"/>
        <w:jc w:val="both"/>
      </w:pPr>
      <w:r>
        <w:t xml:space="preserve">• </w:t>
      </w:r>
      <w:r w:rsidRPr="002D2136">
        <w:rPr>
          <w:u w:val="single"/>
        </w:rPr>
        <w:t>Kompetencija</w:t>
      </w:r>
      <w:r>
        <w:t xml:space="preserve">, sposobnost ispitanika da donese odluku. Računa se da odgovorne, zrele, zdrave osobe mogu doneti kompetentnu odluku ako imaju dovoljno odgovarajućih informacija; </w:t>
      </w:r>
    </w:p>
    <w:p w:rsidR="002D2136" w:rsidRDefault="00FB33E9" w:rsidP="00A12741">
      <w:pPr>
        <w:pStyle w:val="ListParagraph"/>
        <w:spacing w:line="276" w:lineRule="auto"/>
        <w:ind w:left="0" w:firstLine="720"/>
        <w:jc w:val="both"/>
      </w:pPr>
      <w:r>
        <w:t xml:space="preserve">• </w:t>
      </w:r>
      <w:r w:rsidRPr="002D2136">
        <w:rPr>
          <w:u w:val="single"/>
        </w:rPr>
        <w:t>Voluntarizam</w:t>
      </w:r>
      <w:r>
        <w:t xml:space="preserve">, slobodna odluka o učešću. Ispitanici moraju biti slobodni kad donose odluku o učešću u istraživanju. To znači da nisu ucenjeni, </w:t>
      </w:r>
      <w:proofErr w:type="gramStart"/>
      <w:r>
        <w:t>ili</w:t>
      </w:r>
      <w:proofErr w:type="gramEnd"/>
      <w:r>
        <w:t xml:space="preserve"> pod pritiskom ili pod pritiskom očekivanja okruženja. </w:t>
      </w:r>
    </w:p>
    <w:p w:rsidR="002D2136" w:rsidRDefault="00FB33E9" w:rsidP="00A12741">
      <w:pPr>
        <w:pStyle w:val="ListParagraph"/>
        <w:spacing w:line="276" w:lineRule="auto"/>
        <w:ind w:left="0" w:firstLine="720"/>
        <w:jc w:val="both"/>
      </w:pPr>
      <w:r>
        <w:t xml:space="preserve">• </w:t>
      </w:r>
      <w:r w:rsidRPr="002D2136">
        <w:rPr>
          <w:u w:val="single"/>
        </w:rPr>
        <w:t>Potpuna informacija.</w:t>
      </w:r>
      <w:r>
        <w:t xml:space="preserve"> Da bi mogli da donesu slobodnu i kompetentnu odluku, ispitanici moraju imati dovoljno tačnih informacija o prirodi istraživanja. Problem je što se ne može uvek dati potpuna informacija jer se time recimo narušava sam predmet istraživanja. </w:t>
      </w:r>
    </w:p>
    <w:p w:rsidR="002D2136" w:rsidRDefault="00FB33E9" w:rsidP="00A12741">
      <w:pPr>
        <w:pStyle w:val="ListParagraph"/>
        <w:spacing w:line="276" w:lineRule="auto"/>
        <w:ind w:left="0" w:firstLine="720"/>
        <w:jc w:val="both"/>
      </w:pPr>
      <w:r>
        <w:t xml:space="preserve">• </w:t>
      </w:r>
      <w:r w:rsidRPr="002D2136">
        <w:rPr>
          <w:u w:val="single"/>
        </w:rPr>
        <w:t>Razumevanje</w:t>
      </w:r>
      <w:r>
        <w:t xml:space="preserve"> – Odnosi se </w:t>
      </w:r>
      <w:proofErr w:type="gramStart"/>
      <w:r>
        <w:t>na</w:t>
      </w:r>
      <w:proofErr w:type="gramEnd"/>
      <w:r>
        <w:t xml:space="preserve"> činjenicu da ispitanici potpuno razumeju prirodu procesa istraživanja. Sigurnost da je ostvareno potpuno razumevanje </w:t>
      </w:r>
    </w:p>
    <w:p w:rsidR="002D2136" w:rsidRDefault="002D2136" w:rsidP="00D82CFA">
      <w:pPr>
        <w:pStyle w:val="ListParagraph"/>
        <w:spacing w:line="276" w:lineRule="auto"/>
        <w:ind w:left="0"/>
        <w:jc w:val="both"/>
      </w:pPr>
    </w:p>
    <w:p w:rsidR="002D2136" w:rsidRDefault="00FB33E9" w:rsidP="00D82CFA">
      <w:pPr>
        <w:pStyle w:val="ListParagraph"/>
        <w:numPr>
          <w:ilvl w:val="0"/>
          <w:numId w:val="2"/>
        </w:numPr>
        <w:spacing w:line="276" w:lineRule="auto"/>
        <w:ind w:left="0" w:firstLine="0"/>
        <w:jc w:val="both"/>
      </w:pPr>
      <w:r w:rsidRPr="002D2136">
        <w:rPr>
          <w:b/>
        </w:rPr>
        <w:t>Dobrovoljnost i pristanak</w:t>
      </w:r>
      <w:r>
        <w:t xml:space="preserve"> za učestvovanje u istraživanju podrazumeva i </w:t>
      </w:r>
      <w:r w:rsidRPr="002D2136">
        <w:rPr>
          <w:b/>
        </w:rPr>
        <w:t>slobodu ispitanika da izađe, napusti istraživanje u bilo kom momentu</w:t>
      </w:r>
      <w:r>
        <w:t xml:space="preserve"> u kom oseti nelagodu. Važno je naglasiti da tada ispitanik nije dužan </w:t>
      </w:r>
      <w:proofErr w:type="gramStart"/>
      <w:r>
        <w:t>ni</w:t>
      </w:r>
      <w:proofErr w:type="gramEnd"/>
      <w:r>
        <w:t xml:space="preserve"> obavezan da objašnjava razloge svog napuštanja istraživanja, niti se na njega sme vršiti bilo kakav pritisak da ostane.</w:t>
      </w:r>
      <w:r w:rsidR="002D2136">
        <w:t xml:space="preserve"> </w:t>
      </w:r>
    </w:p>
    <w:p w:rsidR="002D2136" w:rsidRDefault="002D2136" w:rsidP="00D82CFA">
      <w:pPr>
        <w:spacing w:line="276" w:lineRule="auto"/>
        <w:jc w:val="both"/>
      </w:pPr>
    </w:p>
    <w:p w:rsidR="002D2136" w:rsidRDefault="002D2136" w:rsidP="00D82CFA">
      <w:pPr>
        <w:pStyle w:val="ListParagraph"/>
        <w:numPr>
          <w:ilvl w:val="0"/>
          <w:numId w:val="2"/>
        </w:numPr>
        <w:spacing w:line="276" w:lineRule="auto"/>
        <w:ind w:left="0" w:firstLine="0"/>
        <w:jc w:val="both"/>
      </w:pPr>
      <w:r w:rsidRPr="002D2136">
        <w:rPr>
          <w:b/>
        </w:rPr>
        <w:t>Potpuna informisanost i pristanak</w:t>
      </w:r>
      <w:r>
        <w:t xml:space="preserve">, posebno su važni u početnoj fazi projekta. To nekad uključuje dobijanje službene dozvole, kontaktiranje odgovorne osobe i pregovaranje </w:t>
      </w:r>
      <w:proofErr w:type="gramStart"/>
      <w:r>
        <w:t>sa</w:t>
      </w:r>
      <w:proofErr w:type="gramEnd"/>
      <w:r>
        <w:t xml:space="preserve"> ispitanicima ili odgovornim osobama kad su u pitanju deca i osobe sa posebnim potrebama. Istraživači bi trebalo da pruže informacija koliko god mogu. Ne treba davati informacije koje mogu da prejudiciraju rezultate (recimo da se u istraživanju uticaja grupnog pritiska </w:t>
      </w:r>
      <w:proofErr w:type="gramStart"/>
      <w:r>
        <w:t>na</w:t>
      </w:r>
      <w:proofErr w:type="gramEnd"/>
      <w:r>
        <w:t xml:space="preserve"> konformizam jedinke, grupi saopšti šta je namera. S druge strane „zavere ćutanja“, tajanstvenost koja u israživanjima koja duže traju, nekoliko </w:t>
      </w:r>
      <w:proofErr w:type="gramStart"/>
      <w:r>
        <w:t>dana</w:t>
      </w:r>
      <w:proofErr w:type="gramEnd"/>
      <w:r>
        <w:t xml:space="preserve"> ili nedelja nužno vodi stvaranju i širenju glasina koje takođe iskrivljuje predmet istraživanja kao da je otvoreno i rečeno kakva je namera istraživanja. </w:t>
      </w:r>
    </w:p>
    <w:p w:rsidR="002D2136" w:rsidRDefault="002D2136" w:rsidP="00D82CFA">
      <w:pPr>
        <w:pStyle w:val="ListParagraph"/>
        <w:spacing w:line="276" w:lineRule="auto"/>
        <w:ind w:left="0"/>
        <w:jc w:val="both"/>
      </w:pPr>
    </w:p>
    <w:p w:rsidR="00C06FBB" w:rsidRDefault="002D2136" w:rsidP="00D82CFA">
      <w:pPr>
        <w:pStyle w:val="ListParagraph"/>
        <w:numPr>
          <w:ilvl w:val="0"/>
          <w:numId w:val="2"/>
        </w:numPr>
        <w:spacing w:line="276" w:lineRule="auto"/>
        <w:ind w:left="0" w:firstLine="0"/>
        <w:jc w:val="both"/>
      </w:pPr>
      <w:r w:rsidRPr="002D2136">
        <w:rPr>
          <w:b/>
        </w:rPr>
        <w:t>Privatnost</w:t>
      </w:r>
      <w:r>
        <w:t xml:space="preserve">. Pitanje privatnosti je izvor još jedne moralne dileme: privatnost/pravo </w:t>
      </w:r>
      <w:proofErr w:type="gramStart"/>
      <w:r>
        <w:t>na</w:t>
      </w:r>
      <w:proofErr w:type="gramEnd"/>
      <w:r>
        <w:t xml:space="preserve"> javnost. U kontekstu istraživanja ispitanik je ranjiv za ovo svoje pravo. Ono se može prekršiti i u postupku ispitivanja, i posle, kad je istraživanje završeno. </w:t>
      </w:r>
    </w:p>
    <w:p w:rsidR="00C06FBB" w:rsidRDefault="00C06FBB" w:rsidP="00D82CFA">
      <w:pPr>
        <w:pStyle w:val="ListParagraph"/>
        <w:spacing w:line="276" w:lineRule="auto"/>
        <w:ind w:left="0"/>
        <w:jc w:val="both"/>
      </w:pPr>
    </w:p>
    <w:p w:rsidR="00C06FBB" w:rsidRDefault="002D2136" w:rsidP="00D82CFA">
      <w:pPr>
        <w:pStyle w:val="ListParagraph"/>
        <w:spacing w:line="276" w:lineRule="auto"/>
        <w:ind w:left="0"/>
        <w:jc w:val="both"/>
      </w:pPr>
      <w:r>
        <w:t xml:space="preserve">Postoje zapravo tri vrste ispitanikove osetljivosti kad je u pitanju njegova privatnost: </w:t>
      </w:r>
    </w:p>
    <w:p w:rsidR="00C06FBB" w:rsidRDefault="002D2136" w:rsidP="00D82CFA">
      <w:pPr>
        <w:pStyle w:val="ListParagraph"/>
        <w:spacing w:line="276" w:lineRule="auto"/>
        <w:ind w:left="0"/>
        <w:jc w:val="both"/>
      </w:pPr>
      <w:r>
        <w:t xml:space="preserve">• </w:t>
      </w:r>
      <w:r w:rsidRPr="00785D1F">
        <w:t xml:space="preserve">Osetljivost </w:t>
      </w:r>
      <w:proofErr w:type="gramStart"/>
      <w:r w:rsidRPr="00785D1F">
        <w:t>na</w:t>
      </w:r>
      <w:proofErr w:type="gramEnd"/>
      <w:r w:rsidRPr="00C06FBB">
        <w:rPr>
          <w:u w:val="single"/>
        </w:rPr>
        <w:t xml:space="preserve"> informacije</w:t>
      </w:r>
      <w:r>
        <w:t xml:space="preserve"> (koliko su lične i osetljive informacije koje se traže. Po etičkom kodeksu </w:t>
      </w:r>
      <w:proofErr w:type="gramStart"/>
      <w:r>
        <w:t>APA3 ,</w:t>
      </w:r>
      <w:proofErr w:type="gramEnd"/>
      <w:r>
        <w:t xml:space="preserve"> to su i verska ispovest, seksualna praksa, prihod, rasne predrasude). Što je veća osetljivost, potrebna je i veća zaštita privatnosti. </w:t>
      </w:r>
    </w:p>
    <w:p w:rsidR="00C06FBB" w:rsidRDefault="002D2136" w:rsidP="00D82CFA">
      <w:pPr>
        <w:pStyle w:val="ListParagraph"/>
        <w:spacing w:line="276" w:lineRule="auto"/>
        <w:ind w:left="0"/>
        <w:jc w:val="both"/>
      </w:pPr>
      <w:r>
        <w:t xml:space="preserve">• </w:t>
      </w:r>
      <w:r w:rsidRPr="00785D1F">
        <w:t>Osetljivost</w:t>
      </w:r>
      <w:r w:rsidRPr="00C06FBB">
        <w:rPr>
          <w:u w:val="single"/>
        </w:rPr>
        <w:t xml:space="preserve"> sredine</w:t>
      </w:r>
      <w:r>
        <w:t xml:space="preserve"> u kojoj se odvija ispitivanje (kod kuće, ličnog prostora, do ulice).</w:t>
      </w:r>
    </w:p>
    <w:p w:rsidR="00C06FBB" w:rsidRDefault="002D2136" w:rsidP="00D82CFA">
      <w:pPr>
        <w:pStyle w:val="ListParagraph"/>
        <w:spacing w:line="276" w:lineRule="auto"/>
        <w:ind w:left="0"/>
        <w:jc w:val="both"/>
      </w:pPr>
      <w:r>
        <w:lastRenderedPageBreak/>
        <w:t xml:space="preserve">• </w:t>
      </w:r>
      <w:r w:rsidRPr="00785D1F">
        <w:t xml:space="preserve">Osetljivost </w:t>
      </w:r>
      <w:proofErr w:type="gramStart"/>
      <w:r w:rsidRPr="00785D1F">
        <w:t>na</w:t>
      </w:r>
      <w:proofErr w:type="gramEnd"/>
      <w:r w:rsidRPr="00C06FBB">
        <w:rPr>
          <w:u w:val="single"/>
        </w:rPr>
        <w:t xml:space="preserve"> širenje informacija</w:t>
      </w:r>
      <w:r>
        <w:t xml:space="preserve"> (povezivanje identiteta i informacije). Što više ljudi može saznati, to je potrebno biti pažljiviji. </w:t>
      </w:r>
    </w:p>
    <w:p w:rsidR="00C06FBB" w:rsidRDefault="00C06FBB" w:rsidP="00D82CFA">
      <w:pPr>
        <w:pStyle w:val="ListParagraph"/>
        <w:spacing w:line="276" w:lineRule="auto"/>
        <w:ind w:left="0"/>
        <w:jc w:val="both"/>
      </w:pPr>
    </w:p>
    <w:p w:rsidR="00C06FBB" w:rsidRDefault="002D2136" w:rsidP="00785D1F">
      <w:pPr>
        <w:pStyle w:val="ListParagraph"/>
        <w:spacing w:line="276" w:lineRule="auto"/>
        <w:ind w:left="0" w:firstLine="720"/>
        <w:jc w:val="both"/>
      </w:pPr>
      <w:r>
        <w:t xml:space="preserve">Načini zaštite privatnosti su </w:t>
      </w:r>
      <w:r w:rsidRPr="00C06FBB">
        <w:rPr>
          <w:b/>
        </w:rPr>
        <w:t>anonimnost i poverljivost</w:t>
      </w:r>
      <w:r>
        <w:t xml:space="preserve">. Ukoliko istraživanje dopušta, ispitanici ne moraju da daju lična imena i ostale identifikacione podatke, mogu da ostanu anonimni. Ukoliko to nije moguće (kao u kliničkim ispitivanjima kada ispitivač zna </w:t>
      </w:r>
      <w:proofErr w:type="gramStart"/>
      <w:r>
        <w:t>ko</w:t>
      </w:r>
      <w:proofErr w:type="gramEnd"/>
      <w:r>
        <w:t xml:space="preserve"> su mu ispitanici), njih štiti načelo poverljivosti, odnosno obaveza istraživača da lične podatke čuva kao poverljive i da ih javno ne objavljuje. Što su informacije osetljivije, to je potreba za garantovanjem poverljivosti veća. Mnogi ispitanici </w:t>
      </w:r>
      <w:proofErr w:type="gramStart"/>
      <w:r>
        <w:t>će</w:t>
      </w:r>
      <w:proofErr w:type="gramEnd"/>
      <w:r>
        <w:t xml:space="preserve"> odbiti da učestvuju u istraživanju ako procene da je jamstvo poverljivosti slabo. </w:t>
      </w:r>
    </w:p>
    <w:p w:rsidR="00C06FBB" w:rsidRDefault="002D2136" w:rsidP="00785D1F">
      <w:pPr>
        <w:pStyle w:val="ListParagraph"/>
        <w:spacing w:line="276" w:lineRule="auto"/>
        <w:ind w:left="0" w:firstLine="720"/>
        <w:jc w:val="both"/>
      </w:pPr>
      <w:r>
        <w:t xml:space="preserve">Da sumiramo etičke </w:t>
      </w:r>
      <w:proofErr w:type="gramStart"/>
      <w:r>
        <w:t>principe</w:t>
      </w:r>
      <w:proofErr w:type="gramEnd"/>
      <w:r>
        <w:t xml:space="preserve"> u istraživanjima: 1. Korist mora biti veća od “cene” koju plaćaju učesnici</w:t>
      </w:r>
      <w:r w:rsidR="00785D1F">
        <w:t>,</w:t>
      </w:r>
      <w:r>
        <w:t xml:space="preserve"> 2. Dobrovoljno učestvovanje i pravo da se povuče u svakom momentu</w:t>
      </w:r>
      <w:r w:rsidR="00785D1F">
        <w:t>,</w:t>
      </w:r>
      <w:r>
        <w:t xml:space="preserve"> 3. Informisanost</w:t>
      </w:r>
      <w:r w:rsidR="00785D1F">
        <w:t>,</w:t>
      </w:r>
      <w:r>
        <w:t xml:space="preserve"> 4. Privatnost (anonimnost i poverljivost podataka, odavanje)</w:t>
      </w:r>
      <w:r w:rsidR="00785D1F">
        <w:t>,</w:t>
      </w:r>
      <w:r>
        <w:t xml:space="preserve"> 5. Obaveznu brigu istraživača: učesnici moraju biti zaštićeni </w:t>
      </w:r>
      <w:proofErr w:type="gramStart"/>
      <w:r>
        <w:t>od</w:t>
      </w:r>
      <w:proofErr w:type="gramEnd"/>
      <w:r>
        <w:t xml:space="preserve"> mentalnog i fizičkog povređivanja</w:t>
      </w:r>
      <w:r w:rsidR="00785D1F">
        <w:t>.</w:t>
      </w:r>
      <w:r>
        <w:t xml:space="preserve"> </w:t>
      </w:r>
    </w:p>
    <w:p w:rsidR="00C06FBB" w:rsidRDefault="00C06FBB" w:rsidP="00D82CFA">
      <w:pPr>
        <w:pStyle w:val="ListParagraph"/>
        <w:spacing w:line="276" w:lineRule="auto"/>
        <w:ind w:left="0"/>
        <w:jc w:val="both"/>
      </w:pPr>
    </w:p>
    <w:p w:rsidR="00C06FBB" w:rsidRDefault="002D2136" w:rsidP="00D82CFA">
      <w:pPr>
        <w:pStyle w:val="ListParagraph"/>
        <w:spacing w:line="276" w:lineRule="auto"/>
        <w:ind w:left="0"/>
        <w:jc w:val="both"/>
      </w:pPr>
      <w:r w:rsidRPr="00C06FBB">
        <w:rPr>
          <w:b/>
        </w:rPr>
        <w:t>Etičnost istraživanja i posebno osetljive grupe</w:t>
      </w:r>
      <w:r w:rsidR="00C06FBB">
        <w:t>.</w:t>
      </w:r>
    </w:p>
    <w:p w:rsidR="00C06FBB" w:rsidRDefault="002D2136" w:rsidP="00D8771A">
      <w:pPr>
        <w:pStyle w:val="ListParagraph"/>
        <w:spacing w:line="276" w:lineRule="auto"/>
        <w:ind w:left="0" w:firstLine="720"/>
        <w:jc w:val="both"/>
      </w:pPr>
      <w:r>
        <w:t xml:space="preserve">Poseban problem se otvara kada se rade istraživanja u obrazovanju kada su u pitanju deca, koja se ne mogu smatrati ravnopravni </w:t>
      </w:r>
      <w:proofErr w:type="gramStart"/>
      <w:r>
        <w:t>sa</w:t>
      </w:r>
      <w:proofErr w:type="gramEnd"/>
      <w:r>
        <w:t xml:space="preserve"> istraživačem. Iako je potrebno da se ova asimetrija moći između istraživača i deteta što više smanji, ta razlika </w:t>
      </w:r>
      <w:proofErr w:type="gramStart"/>
      <w:r>
        <w:t>će</w:t>
      </w:r>
      <w:proofErr w:type="gramEnd"/>
      <w:r>
        <w:t xml:space="preserve"> ostati (Fine i Sandstorm, 1988). Ko su posebno „osetljive grupe</w:t>
      </w:r>
      <w:proofErr w:type="gramStart"/>
      <w:r>
        <w:t>“ koje</w:t>
      </w:r>
      <w:proofErr w:type="gramEnd"/>
      <w:r>
        <w:t xml:space="preserve"> se još sinonimno označavaju i kao "teško dostupni" ili "skrivene populacije”? To su: </w:t>
      </w:r>
    </w:p>
    <w:p w:rsidR="00C06FBB" w:rsidRPr="00C06FBB" w:rsidRDefault="002D2136" w:rsidP="00D8771A">
      <w:pPr>
        <w:pStyle w:val="ListParagraph"/>
        <w:spacing w:line="276" w:lineRule="auto"/>
        <w:ind w:left="810"/>
        <w:jc w:val="both"/>
        <w:rPr>
          <w:i/>
        </w:rPr>
      </w:pPr>
      <w:r>
        <w:t xml:space="preserve">• </w:t>
      </w:r>
      <w:r w:rsidRPr="00C06FBB">
        <w:rPr>
          <w:i/>
        </w:rPr>
        <w:t xml:space="preserve">Osobe koje doživljavaju smanjenu autonomiju zbog fizioloških / psiholoških faktora </w:t>
      </w:r>
      <w:proofErr w:type="gramStart"/>
      <w:r w:rsidRPr="00C06FBB">
        <w:rPr>
          <w:i/>
        </w:rPr>
        <w:t>ili</w:t>
      </w:r>
      <w:proofErr w:type="gramEnd"/>
      <w:r w:rsidRPr="00C06FBB">
        <w:rPr>
          <w:i/>
        </w:rPr>
        <w:t xml:space="preserve"> status nejednakosti (osobe sa smetnjama) </w:t>
      </w:r>
    </w:p>
    <w:p w:rsidR="00C06FBB" w:rsidRPr="00C06FBB" w:rsidRDefault="002D2136" w:rsidP="00D8771A">
      <w:pPr>
        <w:pStyle w:val="ListParagraph"/>
        <w:spacing w:line="276" w:lineRule="auto"/>
        <w:ind w:left="810"/>
        <w:jc w:val="both"/>
        <w:rPr>
          <w:i/>
        </w:rPr>
      </w:pPr>
      <w:r w:rsidRPr="00C06FBB">
        <w:rPr>
          <w:i/>
        </w:rPr>
        <w:t xml:space="preserve">• Nemaju mogućnost da naprave lični izbor života, donesu lične odluke, da održe nezavisnost i da samostalno upravljaju sobom (osobe u zatvoru, u vaspitnim domovima, bolnicama i slično) </w:t>
      </w:r>
    </w:p>
    <w:p w:rsidR="00C06FBB" w:rsidRPr="00C06FBB" w:rsidRDefault="002D2136" w:rsidP="00D8771A">
      <w:pPr>
        <w:pStyle w:val="ListParagraph"/>
        <w:spacing w:line="276" w:lineRule="auto"/>
        <w:ind w:left="810"/>
        <w:jc w:val="both"/>
        <w:rPr>
          <w:i/>
        </w:rPr>
      </w:pPr>
      <w:r w:rsidRPr="00C06FBB">
        <w:rPr>
          <w:i/>
        </w:rPr>
        <w:t xml:space="preserve">• Društvene grupe koje imaju povećan relativni rizik </w:t>
      </w:r>
      <w:proofErr w:type="gramStart"/>
      <w:r w:rsidRPr="00C06FBB">
        <w:rPr>
          <w:i/>
        </w:rPr>
        <w:t>ili</w:t>
      </w:r>
      <w:proofErr w:type="gramEnd"/>
      <w:r w:rsidRPr="00C06FBB">
        <w:rPr>
          <w:i/>
        </w:rPr>
        <w:t xml:space="preserve"> podložnost negativnim zdravstvenim ishodima </w:t>
      </w:r>
    </w:p>
    <w:p w:rsidR="00C06FBB" w:rsidRPr="00C06FBB" w:rsidRDefault="002D2136" w:rsidP="00D8771A">
      <w:pPr>
        <w:pStyle w:val="ListParagraph"/>
        <w:spacing w:line="276" w:lineRule="auto"/>
        <w:ind w:left="810"/>
        <w:jc w:val="both"/>
        <w:rPr>
          <w:i/>
        </w:rPr>
      </w:pPr>
      <w:r w:rsidRPr="00C06FBB">
        <w:rPr>
          <w:i/>
        </w:rPr>
        <w:t xml:space="preserve">• Siromašni, obespravljeni i / </w:t>
      </w:r>
      <w:proofErr w:type="gramStart"/>
      <w:r w:rsidRPr="00C06FBB">
        <w:rPr>
          <w:i/>
        </w:rPr>
        <w:t>ili</w:t>
      </w:r>
      <w:proofErr w:type="gramEnd"/>
      <w:r w:rsidRPr="00C06FBB">
        <w:rPr>
          <w:i/>
        </w:rPr>
        <w:t xml:space="preserve"> predmet diskriminacije, netolerancije, podređenosti i žigosanja (stigme). </w:t>
      </w:r>
    </w:p>
    <w:p w:rsidR="00C06FBB" w:rsidRDefault="00C06FBB" w:rsidP="00D82CFA">
      <w:pPr>
        <w:pStyle w:val="ListParagraph"/>
        <w:spacing w:line="276" w:lineRule="auto"/>
        <w:ind w:left="0"/>
        <w:jc w:val="both"/>
      </w:pPr>
    </w:p>
    <w:p w:rsidR="00C06FBB" w:rsidRDefault="00C06FBB" w:rsidP="00D82CFA">
      <w:pPr>
        <w:pStyle w:val="ListParagraph"/>
        <w:spacing w:line="276" w:lineRule="auto"/>
        <w:ind w:left="0"/>
        <w:jc w:val="both"/>
      </w:pPr>
    </w:p>
    <w:p w:rsidR="00C06FBB" w:rsidRDefault="002D2136" w:rsidP="00D82CFA">
      <w:pPr>
        <w:pStyle w:val="ListParagraph"/>
        <w:spacing w:line="276" w:lineRule="auto"/>
        <w:ind w:left="0"/>
        <w:jc w:val="both"/>
      </w:pPr>
      <w:r w:rsidRPr="00C06FBB">
        <w:rPr>
          <w:highlight w:val="yellow"/>
        </w:rPr>
        <w:t>Poseban oprez je potreban kod dve grupe</w:t>
      </w:r>
      <w:r>
        <w:t xml:space="preserve">: DECA </w:t>
      </w:r>
      <w:r w:rsidRPr="00C06FBB">
        <w:rPr>
          <w:b/>
        </w:rPr>
        <w:t>(sva deca)</w:t>
      </w:r>
      <w:r>
        <w:t xml:space="preserve"> zato što nemaju kognitivnih kapaciteta da razumeju informacije istraživača, nemaju </w:t>
      </w:r>
      <w:proofErr w:type="gramStart"/>
      <w:r>
        <w:t>ni</w:t>
      </w:r>
      <w:proofErr w:type="gramEnd"/>
      <w:r>
        <w:t xml:space="preserve"> znanja ni životnog iskustva da bi mogli da daju obavešten svesni pristanak za učestvovanje u istraživanju. </w:t>
      </w:r>
    </w:p>
    <w:p w:rsidR="00FB33E9" w:rsidRDefault="002D2136" w:rsidP="00D82CFA">
      <w:pPr>
        <w:pStyle w:val="ListParagraph"/>
        <w:spacing w:line="276" w:lineRule="auto"/>
        <w:ind w:left="0"/>
        <w:jc w:val="both"/>
      </w:pPr>
      <w:r>
        <w:t>Druga grupa su (iz is</w:t>
      </w:r>
      <w:r w:rsidR="00C06FBB">
        <w:t xml:space="preserve">tih razloga) </w:t>
      </w:r>
      <w:r w:rsidR="00C06FBB" w:rsidRPr="00C06FBB">
        <w:rPr>
          <w:b/>
        </w:rPr>
        <w:t>deca i odrasle oso</w:t>
      </w:r>
      <w:r w:rsidRPr="00C06FBB">
        <w:rPr>
          <w:b/>
        </w:rPr>
        <w:t xml:space="preserve">be </w:t>
      </w:r>
      <w:proofErr w:type="gramStart"/>
      <w:r w:rsidRPr="00C06FBB">
        <w:rPr>
          <w:b/>
        </w:rPr>
        <w:t>sa</w:t>
      </w:r>
      <w:proofErr w:type="gramEnd"/>
      <w:r w:rsidRPr="00C06FBB">
        <w:rPr>
          <w:b/>
        </w:rPr>
        <w:t xml:space="preserve"> smetnjama u razvoju</w:t>
      </w:r>
      <w:r>
        <w:t xml:space="preserve">. Tada se MORA ispoštovati procedura traženja svesnog pristanka </w:t>
      </w:r>
      <w:proofErr w:type="gramStart"/>
      <w:r>
        <w:t>od</w:t>
      </w:r>
      <w:proofErr w:type="gramEnd"/>
      <w:r>
        <w:t xml:space="preserve"> odraslih koji su odgovorni za decu (roditelji, nastavnici, staratelji, psihijatri, omladinske vođe, treneri ekipa). Njima se objašnjava šta je glavna </w:t>
      </w:r>
      <w:r>
        <w:lastRenderedPageBreak/>
        <w:t xml:space="preserve">ideja istraživanja. </w:t>
      </w:r>
      <w:proofErr w:type="gramStart"/>
      <w:r>
        <w:t>Od</w:t>
      </w:r>
      <w:proofErr w:type="gramEnd"/>
      <w:r>
        <w:t xml:space="preserve"> njih se očekuje i traži dopuštenje da odgovore na pitanja o deci. Ovo nekad može biti teže nego traženje saglasnosti </w:t>
      </w:r>
      <w:proofErr w:type="gramStart"/>
      <w:r>
        <w:t>od</w:t>
      </w:r>
      <w:proofErr w:type="gramEnd"/>
      <w:r>
        <w:t xml:space="preserve"> dece. Kada postoji, mora se poštovati institucionalna procedura.</w:t>
      </w:r>
    </w:p>
    <w:p w:rsidR="00767365" w:rsidRDefault="00767365" w:rsidP="00D82CFA">
      <w:pPr>
        <w:spacing w:line="276" w:lineRule="auto"/>
        <w:jc w:val="both"/>
      </w:pPr>
    </w:p>
    <w:p w:rsidR="00767365" w:rsidRDefault="00767365" w:rsidP="00D82CFA">
      <w:pPr>
        <w:spacing w:line="276" w:lineRule="auto"/>
        <w:jc w:val="both"/>
      </w:pPr>
    </w:p>
    <w:p w:rsidR="00767365" w:rsidRDefault="00767365" w:rsidP="00D82CFA">
      <w:pPr>
        <w:spacing w:line="276" w:lineRule="auto"/>
        <w:jc w:val="both"/>
      </w:pPr>
    </w:p>
    <w:tbl>
      <w:tblPr>
        <w:tblStyle w:val="TableGrid"/>
        <w:tblW w:w="0" w:type="auto"/>
        <w:tblLook w:val="04A0" w:firstRow="1" w:lastRow="0" w:firstColumn="1" w:lastColumn="0" w:noHBand="0" w:noVBand="1"/>
      </w:tblPr>
      <w:tblGrid>
        <w:gridCol w:w="9350"/>
      </w:tblGrid>
      <w:tr w:rsidR="006578FF" w:rsidTr="006578FF">
        <w:tc>
          <w:tcPr>
            <w:tcW w:w="9350" w:type="dxa"/>
            <w:shd w:val="clear" w:color="auto" w:fill="A8D08D" w:themeFill="accent6" w:themeFillTint="99"/>
          </w:tcPr>
          <w:p w:rsidR="006578FF" w:rsidRPr="006578FF" w:rsidRDefault="006578FF" w:rsidP="006578FF">
            <w:pPr>
              <w:spacing w:before="120" w:after="120" w:line="276" w:lineRule="auto"/>
              <w:jc w:val="center"/>
            </w:pPr>
            <w:r w:rsidRPr="006578FF">
              <w:t>ZADATAK</w:t>
            </w:r>
          </w:p>
          <w:p w:rsidR="006578FF" w:rsidRDefault="006578FF" w:rsidP="0049737D">
            <w:pPr>
              <w:spacing w:before="120" w:after="120" w:line="276" w:lineRule="auto"/>
              <w:jc w:val="both"/>
            </w:pPr>
          </w:p>
        </w:tc>
      </w:tr>
    </w:tbl>
    <w:p w:rsidR="006578FF" w:rsidRDefault="006578FF" w:rsidP="0049737D">
      <w:pPr>
        <w:spacing w:before="120" w:after="120" w:line="276" w:lineRule="auto"/>
        <w:jc w:val="both"/>
      </w:pPr>
    </w:p>
    <w:p w:rsidR="00A74FDB" w:rsidRDefault="00A74FDB" w:rsidP="0049737D">
      <w:pPr>
        <w:spacing w:before="120" w:after="120" w:line="276" w:lineRule="auto"/>
        <w:jc w:val="both"/>
      </w:pPr>
      <w:r>
        <w:t xml:space="preserve">Odgovorite </w:t>
      </w:r>
      <w:proofErr w:type="gramStart"/>
      <w:r>
        <w:t>na</w:t>
      </w:r>
      <w:proofErr w:type="gramEnd"/>
      <w:r>
        <w:t xml:space="preserve"> sledeća pitanja:</w:t>
      </w:r>
    </w:p>
    <w:p w:rsidR="00B73A50" w:rsidRDefault="00B73A50" w:rsidP="00A74FDB">
      <w:pPr>
        <w:pStyle w:val="ListParagraph"/>
        <w:numPr>
          <w:ilvl w:val="0"/>
          <w:numId w:val="4"/>
        </w:numPr>
        <w:spacing w:before="120" w:after="120" w:line="276" w:lineRule="auto"/>
        <w:ind w:left="0" w:firstLine="630"/>
        <w:jc w:val="both"/>
      </w:pPr>
      <w:r>
        <w:t xml:space="preserve">Koja </w:t>
      </w:r>
      <w:r w:rsidRPr="00A74FDB">
        <w:rPr>
          <w:b/>
        </w:rPr>
        <w:t>etička načela su prekršena</w:t>
      </w:r>
      <w:r>
        <w:t xml:space="preserve"> </w:t>
      </w:r>
      <w:r w:rsidR="00A74FDB">
        <w:t>u opisanim istraživanjima</w:t>
      </w:r>
      <w:r>
        <w:t xml:space="preserve">? Nemojte kopirati delove teksta, već ih sažeto prepričajte – kao obrazloženje za kršenje odgovarajućeg etičkog standarda. </w:t>
      </w:r>
      <w:r w:rsidR="00C54880" w:rsidRPr="00A74FDB">
        <w:rPr>
          <w:highlight w:val="yellow"/>
        </w:rPr>
        <w:t>(</w:t>
      </w:r>
      <w:r w:rsidRPr="00A74FDB">
        <w:rPr>
          <w:highlight w:val="yellow"/>
        </w:rPr>
        <w:t>Standardi su opisani u udžbeniku</w:t>
      </w:r>
      <w:r w:rsidR="00A74FDB" w:rsidRPr="00A74FDB">
        <w:rPr>
          <w:highlight w:val="yellow"/>
        </w:rPr>
        <w:t xml:space="preserve"> (dostupan </w:t>
      </w:r>
      <w:proofErr w:type="gramStart"/>
      <w:r w:rsidR="00A74FDB" w:rsidRPr="00A74FDB">
        <w:rPr>
          <w:highlight w:val="yellow"/>
        </w:rPr>
        <w:t>na</w:t>
      </w:r>
      <w:proofErr w:type="gramEnd"/>
      <w:r w:rsidR="00A74FDB" w:rsidRPr="00A74FDB">
        <w:rPr>
          <w:highlight w:val="yellow"/>
        </w:rPr>
        <w:t xml:space="preserve"> sajtu u e formi</w:t>
      </w:r>
      <w:r w:rsidRPr="00A74FDB">
        <w:rPr>
          <w:highlight w:val="yellow"/>
        </w:rPr>
        <w:t>), str. 46, Prilog 2.</w:t>
      </w:r>
      <w:r w:rsidR="00A74FDB" w:rsidRPr="00A74FDB">
        <w:rPr>
          <w:highlight w:val="yellow"/>
        </w:rPr>
        <w:t>)</w:t>
      </w:r>
    </w:p>
    <w:p w:rsidR="00B73A50" w:rsidRDefault="00B73A50" w:rsidP="00D82CFA">
      <w:pPr>
        <w:spacing w:line="276" w:lineRule="auto"/>
        <w:jc w:val="both"/>
      </w:pPr>
    </w:p>
    <w:p w:rsidR="009B7B33" w:rsidRDefault="009B7B33" w:rsidP="00D82CFA">
      <w:pPr>
        <w:spacing w:line="276" w:lineRule="auto"/>
        <w:jc w:val="both"/>
      </w:pPr>
    </w:p>
    <w:tbl>
      <w:tblPr>
        <w:tblStyle w:val="TableGrid"/>
        <w:tblW w:w="0" w:type="auto"/>
        <w:tblLook w:val="04A0" w:firstRow="1" w:lastRow="0" w:firstColumn="1" w:lastColumn="0" w:noHBand="0" w:noVBand="1"/>
      </w:tblPr>
      <w:tblGrid>
        <w:gridCol w:w="9350"/>
      </w:tblGrid>
      <w:tr w:rsidR="00A74FDB" w:rsidTr="00A74FDB">
        <w:tc>
          <w:tcPr>
            <w:tcW w:w="9350" w:type="dxa"/>
          </w:tcPr>
          <w:p w:rsidR="00A74FDB" w:rsidRDefault="00B0117C" w:rsidP="00A74FDB">
            <w:pPr>
              <w:spacing w:line="276" w:lineRule="auto"/>
              <w:jc w:val="both"/>
            </w:pPr>
            <w:r w:rsidRPr="00B0117C">
              <w:rPr>
                <w:b/>
              </w:rPr>
              <w:t>Slucaj 1</w:t>
            </w:r>
            <w:r>
              <w:t xml:space="preserve">: </w:t>
            </w:r>
            <w:r w:rsidR="00A74FDB">
              <w:t>Dr Brown izučava stavove studenta o vlastitoj seksualnosti. Istraživanje će raditi sa studentima prve godine psihologije kojima predaje. Na uvodnom predavanju obratila se studentima: „Vaša obaveza na ovom kursu je i da budete ispitanici i učestvujete u psihološkim eksperimentima i istraživanjima u kojima ćete se upoznati sa metodama psiholoških istraživanja. Potrebno je da u toku semestra sakupite potpisa koji potvrđuju da ste učestvovali u istraživanjima</w:t>
            </w:r>
            <w:proofErr w:type="gramStart"/>
            <w:r w:rsidR="00A74FDB">
              <w:t>.“</w:t>
            </w:r>
            <w:proofErr w:type="gramEnd"/>
            <w:r w:rsidR="00A74FDB">
              <w:t xml:space="preserve"> </w:t>
            </w:r>
          </w:p>
          <w:p w:rsidR="00A74FDB" w:rsidRDefault="00A74FDB" w:rsidP="00A74FDB">
            <w:pPr>
              <w:spacing w:line="276" w:lineRule="auto"/>
              <w:jc w:val="both"/>
            </w:pPr>
          </w:p>
          <w:p w:rsidR="00A74FDB" w:rsidRDefault="00B0117C" w:rsidP="00A74FDB">
            <w:pPr>
              <w:spacing w:line="276" w:lineRule="auto"/>
              <w:jc w:val="both"/>
            </w:pPr>
            <w:r w:rsidRPr="00B0117C">
              <w:rPr>
                <w:b/>
              </w:rPr>
              <w:t xml:space="preserve">Slucaj </w:t>
            </w:r>
            <w:r w:rsidRPr="00B0117C">
              <w:rPr>
                <w:b/>
              </w:rPr>
              <w:t>2</w:t>
            </w:r>
            <w:r>
              <w:t xml:space="preserve">: </w:t>
            </w:r>
            <w:r w:rsidR="00A74FDB">
              <w:t>Dr Bell je istraživao poremećaje ponašanja i delinkvenciju u siromašnom gradskom kvartu deskriptivnom metodom. Kad je objavio rezultate istraživanja javio mu se službenik iz policije i tražio da istraživač identifikuje učesnike svoga istraživanja. Pošto nije hteo da rizikuje da bude osumnjičen kao saučesnik, Bell se prilagodio zahtevu.</w:t>
            </w:r>
          </w:p>
          <w:p w:rsidR="00B15E17" w:rsidRDefault="00B15E17" w:rsidP="00A74FDB">
            <w:pPr>
              <w:spacing w:line="276" w:lineRule="auto"/>
              <w:jc w:val="both"/>
            </w:pPr>
          </w:p>
          <w:p w:rsidR="00B15E17" w:rsidRDefault="00B0117C" w:rsidP="00A74FDB">
            <w:pPr>
              <w:spacing w:line="276" w:lineRule="auto"/>
              <w:jc w:val="both"/>
            </w:pPr>
            <w:r w:rsidRPr="00B0117C">
              <w:rPr>
                <w:b/>
              </w:rPr>
              <w:t xml:space="preserve">Slucaj </w:t>
            </w:r>
            <w:r>
              <w:rPr>
                <w:b/>
              </w:rPr>
              <w:t xml:space="preserve">3: </w:t>
            </w:r>
            <w:r w:rsidR="00B15E17">
              <w:t>Votsonov eksperiment sa Malim Albertom – uslovljavanje emocije straha na belog pacova.</w:t>
            </w:r>
          </w:p>
          <w:p w:rsidR="00B0117C" w:rsidRPr="00B0117C" w:rsidRDefault="00B0117C" w:rsidP="00A74FDB">
            <w:pPr>
              <w:spacing w:line="276" w:lineRule="auto"/>
              <w:jc w:val="both"/>
              <w:rPr>
                <w:rFonts w:cstheme="minorHAnsi"/>
              </w:rPr>
            </w:pPr>
            <w:bookmarkStart w:id="0" w:name="_GoBack"/>
          </w:p>
          <w:p w:rsidR="00B0117C" w:rsidRPr="00B0117C" w:rsidRDefault="00B0117C" w:rsidP="00B0117C">
            <w:pPr>
              <w:pStyle w:val="ListParagraph"/>
              <w:spacing w:after="100" w:afterAutospacing="1"/>
              <w:ind w:left="0"/>
              <w:jc w:val="both"/>
              <w:rPr>
                <w:rFonts w:cstheme="minorHAnsi"/>
              </w:rPr>
            </w:pPr>
            <w:r w:rsidRPr="00B0117C">
              <w:rPr>
                <w:rFonts w:cstheme="minorHAnsi"/>
                <w:b/>
              </w:rPr>
              <w:t xml:space="preserve">Slucaj </w:t>
            </w:r>
            <w:r w:rsidRPr="00B0117C">
              <w:rPr>
                <w:rFonts w:cstheme="minorHAnsi"/>
                <w:b/>
              </w:rPr>
              <w:t xml:space="preserve">4: </w:t>
            </w:r>
            <w:r w:rsidRPr="00B0117C">
              <w:rPr>
                <w:rFonts w:cstheme="minorHAnsi"/>
                <w:lang w:val="sr-Latn-CS"/>
              </w:rPr>
              <w:t xml:space="preserve">Mr Miloš Simić istražuje efekte nepravednog ocenjivanja na školsku uspešnost. Posle određenog segmenta gradiva dao je kontrolnu vežbu u dva odeljenja III razreda. Uspeh obe grupe dece je bio u proseku isti. Ali je on jednom odeljenju proizvoljno snizio ocene i rekao da su loše uradili kontrolnu vežbu. Na kraju godine je dao isti test obema grupama i utvrdio da je postignuće nepravedno ocenjenih sada značajno gore. </w:t>
            </w:r>
            <w:r w:rsidRPr="00B0117C">
              <w:rPr>
                <w:rFonts w:cstheme="minorHAnsi"/>
              </w:rPr>
              <w:t xml:space="preserve">Potvrdio je svoju hipotezu.  </w:t>
            </w:r>
          </w:p>
          <w:p w:rsidR="00B0117C" w:rsidRPr="00B0117C" w:rsidRDefault="00B0117C" w:rsidP="00B0117C">
            <w:pPr>
              <w:numPr>
                <w:ilvl w:val="0"/>
                <w:numId w:val="7"/>
              </w:numPr>
              <w:spacing w:after="100" w:afterAutospacing="1"/>
              <w:rPr>
                <w:rFonts w:eastAsia="Times New Roman" w:cstheme="minorHAnsi"/>
                <w:lang w:val="sr-Latn-CS" w:eastAsia="sr-Latn-CS"/>
              </w:rPr>
            </w:pPr>
            <w:r w:rsidRPr="00B0117C">
              <w:rPr>
                <w:rFonts w:eastAsia="Times New Roman" w:cstheme="minorHAnsi"/>
                <w:lang w:val="sr-Latn-CS" w:eastAsia="sr-Latn-CS"/>
              </w:rPr>
              <w:lastRenderedPageBreak/>
              <w:t>Analizirajte ovaj primer. Da li je ova situacija istraživanja korektna za ispitanike? Obrazložite</w:t>
            </w:r>
          </w:p>
          <w:p w:rsidR="00B0117C" w:rsidRPr="00B0117C" w:rsidRDefault="00B0117C" w:rsidP="00B0117C">
            <w:pPr>
              <w:numPr>
                <w:ilvl w:val="0"/>
                <w:numId w:val="7"/>
              </w:numPr>
              <w:spacing w:after="100" w:afterAutospacing="1"/>
              <w:rPr>
                <w:rFonts w:eastAsia="Times New Roman" w:cstheme="minorHAnsi"/>
                <w:lang w:val="sr-Latn-CS" w:eastAsia="sr-Latn-CS"/>
              </w:rPr>
            </w:pPr>
            <w:r w:rsidRPr="00B0117C">
              <w:rPr>
                <w:rFonts w:eastAsia="Times New Roman" w:cstheme="minorHAnsi"/>
                <w:lang w:val="sr-Latn-CS" w:eastAsia="sr-Latn-CS"/>
              </w:rPr>
              <w:t>Da li ima nekih koristi od ovog istraživanja? Obrazložite</w:t>
            </w:r>
          </w:p>
          <w:p w:rsidR="00B0117C" w:rsidRPr="00B0117C" w:rsidRDefault="00B0117C" w:rsidP="00B0117C">
            <w:pPr>
              <w:numPr>
                <w:ilvl w:val="0"/>
                <w:numId w:val="7"/>
              </w:numPr>
              <w:spacing w:after="100" w:afterAutospacing="1"/>
              <w:rPr>
                <w:rFonts w:eastAsia="Times New Roman" w:cstheme="minorHAnsi"/>
                <w:lang w:val="sr-Latn-CS" w:eastAsia="sr-Latn-CS"/>
              </w:rPr>
            </w:pPr>
            <w:r w:rsidRPr="00B0117C">
              <w:rPr>
                <w:rFonts w:eastAsia="Times New Roman" w:cstheme="minorHAnsi"/>
                <w:lang w:val="sr-Latn-CS" w:eastAsia="sr-Latn-CS"/>
              </w:rPr>
              <w:t>Da li ima nekih rizika za ispitanike? Obrazložite</w:t>
            </w:r>
          </w:p>
          <w:p w:rsidR="00B0117C" w:rsidRPr="00B0117C" w:rsidRDefault="00B0117C" w:rsidP="00B0117C">
            <w:pPr>
              <w:numPr>
                <w:ilvl w:val="0"/>
                <w:numId w:val="7"/>
              </w:numPr>
              <w:spacing w:after="100" w:afterAutospacing="1"/>
              <w:rPr>
                <w:rFonts w:eastAsia="Times New Roman" w:cstheme="minorHAnsi"/>
                <w:lang w:val="sr-Latn-CS" w:eastAsia="sr-Latn-CS"/>
              </w:rPr>
            </w:pPr>
            <w:r w:rsidRPr="00B0117C">
              <w:rPr>
                <w:rFonts w:eastAsia="Times New Roman" w:cstheme="minorHAnsi"/>
                <w:lang w:val="sr-Latn-CS" w:eastAsia="sr-Latn-CS"/>
              </w:rPr>
              <w:t>Šta bi trebalo istraživač da radi po vašem mišljenju?</w:t>
            </w:r>
          </w:p>
          <w:bookmarkEnd w:id="0"/>
          <w:p w:rsidR="00B0117C" w:rsidRDefault="00B0117C" w:rsidP="00A74FDB">
            <w:pPr>
              <w:spacing w:line="276" w:lineRule="auto"/>
              <w:jc w:val="both"/>
            </w:pPr>
          </w:p>
          <w:p w:rsidR="00A74FDB" w:rsidRDefault="00A74FDB" w:rsidP="00D82CFA">
            <w:pPr>
              <w:spacing w:line="276" w:lineRule="auto"/>
              <w:jc w:val="both"/>
            </w:pPr>
          </w:p>
        </w:tc>
      </w:tr>
    </w:tbl>
    <w:p w:rsidR="00B73A50" w:rsidRDefault="00B73A50" w:rsidP="00D82CFA">
      <w:pPr>
        <w:spacing w:line="276" w:lineRule="auto"/>
        <w:jc w:val="both"/>
      </w:pPr>
    </w:p>
    <w:p w:rsidR="00B73A50" w:rsidRDefault="00B73A50" w:rsidP="00D82CFA">
      <w:pPr>
        <w:spacing w:line="276" w:lineRule="auto"/>
        <w:jc w:val="both"/>
      </w:pPr>
    </w:p>
    <w:p w:rsidR="00A74FDB" w:rsidRDefault="00A74FDB" w:rsidP="00A74FDB">
      <w:pPr>
        <w:pStyle w:val="ListParagraph"/>
        <w:numPr>
          <w:ilvl w:val="0"/>
          <w:numId w:val="4"/>
        </w:numPr>
        <w:spacing w:line="276" w:lineRule="auto"/>
        <w:jc w:val="both"/>
      </w:pPr>
      <w:r>
        <w:t xml:space="preserve">Ukoliko bi se u vašoj vaspitnoj grupi pojavio istraživač </w:t>
      </w:r>
      <w:proofErr w:type="gramStart"/>
      <w:r>
        <w:t>sa</w:t>
      </w:r>
      <w:proofErr w:type="gramEnd"/>
      <w:r>
        <w:t xml:space="preserve"> molbom da mu dozvolite da sprovede istraživanje sa decom, koje biste informacije tražili od njega?</w:t>
      </w:r>
    </w:p>
    <w:p w:rsidR="00B73A50" w:rsidRDefault="00B73A50" w:rsidP="00D82CFA">
      <w:pPr>
        <w:spacing w:line="276" w:lineRule="auto"/>
        <w:jc w:val="both"/>
      </w:pPr>
    </w:p>
    <w:sectPr w:rsidR="00B73A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FF9" w:rsidRDefault="00802FF9" w:rsidP="002D2136">
      <w:r>
        <w:separator/>
      </w:r>
    </w:p>
  </w:endnote>
  <w:endnote w:type="continuationSeparator" w:id="0">
    <w:p w:rsidR="00802FF9" w:rsidRDefault="00802FF9" w:rsidP="002D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FF9" w:rsidRDefault="00802FF9" w:rsidP="002D2136">
      <w:r>
        <w:separator/>
      </w:r>
    </w:p>
  </w:footnote>
  <w:footnote w:type="continuationSeparator" w:id="0">
    <w:p w:rsidR="00802FF9" w:rsidRDefault="00802FF9" w:rsidP="002D2136">
      <w:r>
        <w:continuationSeparator/>
      </w:r>
    </w:p>
  </w:footnote>
  <w:footnote w:id="1">
    <w:p w:rsidR="00FA66BB" w:rsidRDefault="00FA66BB">
      <w:pPr>
        <w:pStyle w:val="FootnoteText"/>
      </w:pPr>
      <w:r>
        <w:rPr>
          <w:rStyle w:val="FootnoteReference"/>
        </w:rPr>
        <w:footnoteRef/>
      </w:r>
      <w:r>
        <w:t xml:space="preserve"> Cohen, Manion, Morrison (2007) Metode istraživanja u obrazovanju, Zagreb, Naklada Slap</w:t>
      </w:r>
    </w:p>
  </w:footnote>
  <w:footnote w:id="2">
    <w:p w:rsidR="002D2136" w:rsidRDefault="002D2136">
      <w:pPr>
        <w:pStyle w:val="FootnoteText"/>
      </w:pPr>
      <w:r>
        <w:rPr>
          <w:rStyle w:val="FootnoteReference"/>
        </w:rPr>
        <w:footnoteRef/>
      </w:r>
      <w:r>
        <w:t xml:space="preserve"> Da podsetimo, u ovom klasičnom eksperimentu čija je namera bila da se ispita autoritarnost, poslušnost i podčinjavanje autoritetu, eksperimentator je „nagovarao“subjekte da pojačavaju stepen kazne u vidu bolnog elektrostimulusa nad „žrtvama“ (instruiranim od strane eksperimentatora) koje su glumilie sve jači stepen bola i straha. U eksperimentu se istraživalo do koje mere su ljudi spremni da poslušaju autoritet i nanesu bol drugome bez obzira </w:t>
      </w:r>
      <w:proofErr w:type="gramStart"/>
      <w:r>
        <w:t>na</w:t>
      </w:r>
      <w:proofErr w:type="gramEnd"/>
      <w:r>
        <w:t xml:space="preserve"> humanističke vrednosti i ljudske obzire (više o ovome videti u Milgram, S. (1990). Poslušnost autoritetu. Beograd. Nolit)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27C3"/>
    <w:multiLevelType w:val="hybridMultilevel"/>
    <w:tmpl w:val="374A8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DD3C97"/>
    <w:multiLevelType w:val="hybridMultilevel"/>
    <w:tmpl w:val="D500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91998"/>
    <w:multiLevelType w:val="hybridMultilevel"/>
    <w:tmpl w:val="DF4C0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836D6"/>
    <w:multiLevelType w:val="hybridMultilevel"/>
    <w:tmpl w:val="F5E4F7BC"/>
    <w:lvl w:ilvl="0" w:tplc="D8640E14">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4AD92AEC"/>
    <w:multiLevelType w:val="hybridMultilevel"/>
    <w:tmpl w:val="61E02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86A34"/>
    <w:multiLevelType w:val="hybridMultilevel"/>
    <w:tmpl w:val="3A3A14B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9353884"/>
    <w:multiLevelType w:val="hybridMultilevel"/>
    <w:tmpl w:val="B70AA8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8E"/>
    <w:rsid w:val="0013640D"/>
    <w:rsid w:val="002D2136"/>
    <w:rsid w:val="0049737D"/>
    <w:rsid w:val="006578FF"/>
    <w:rsid w:val="00767365"/>
    <w:rsid w:val="00767591"/>
    <w:rsid w:val="00785D1F"/>
    <w:rsid w:val="00802FF9"/>
    <w:rsid w:val="00840ED0"/>
    <w:rsid w:val="0087147A"/>
    <w:rsid w:val="008962A5"/>
    <w:rsid w:val="009B7B33"/>
    <w:rsid w:val="009E628E"/>
    <w:rsid w:val="00A12741"/>
    <w:rsid w:val="00A74FDB"/>
    <w:rsid w:val="00AB6E32"/>
    <w:rsid w:val="00B0117C"/>
    <w:rsid w:val="00B15E17"/>
    <w:rsid w:val="00B73A50"/>
    <w:rsid w:val="00B836E6"/>
    <w:rsid w:val="00C06FBB"/>
    <w:rsid w:val="00C54880"/>
    <w:rsid w:val="00D82CFA"/>
    <w:rsid w:val="00D8771A"/>
    <w:rsid w:val="00EF4376"/>
    <w:rsid w:val="00FA66BB"/>
    <w:rsid w:val="00FB0795"/>
    <w:rsid w:val="00FB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A49E0-9849-467E-9A99-70D3D28F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B3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136"/>
    <w:pPr>
      <w:ind w:left="720"/>
      <w:contextualSpacing/>
    </w:pPr>
  </w:style>
  <w:style w:type="character" w:styleId="CommentReference">
    <w:name w:val="annotation reference"/>
    <w:basedOn w:val="DefaultParagraphFont"/>
    <w:uiPriority w:val="99"/>
    <w:semiHidden/>
    <w:unhideWhenUsed/>
    <w:rsid w:val="002D2136"/>
    <w:rPr>
      <w:sz w:val="16"/>
      <w:szCs w:val="16"/>
    </w:rPr>
  </w:style>
  <w:style w:type="paragraph" w:styleId="CommentText">
    <w:name w:val="annotation text"/>
    <w:basedOn w:val="Normal"/>
    <w:link w:val="CommentTextChar"/>
    <w:uiPriority w:val="99"/>
    <w:semiHidden/>
    <w:unhideWhenUsed/>
    <w:rsid w:val="002D2136"/>
    <w:rPr>
      <w:sz w:val="20"/>
      <w:szCs w:val="20"/>
    </w:rPr>
  </w:style>
  <w:style w:type="character" w:customStyle="1" w:styleId="CommentTextChar">
    <w:name w:val="Comment Text Char"/>
    <w:basedOn w:val="DefaultParagraphFont"/>
    <w:link w:val="CommentText"/>
    <w:uiPriority w:val="99"/>
    <w:semiHidden/>
    <w:rsid w:val="002D2136"/>
    <w:rPr>
      <w:sz w:val="20"/>
      <w:szCs w:val="20"/>
    </w:rPr>
  </w:style>
  <w:style w:type="paragraph" w:styleId="CommentSubject">
    <w:name w:val="annotation subject"/>
    <w:basedOn w:val="CommentText"/>
    <w:next w:val="CommentText"/>
    <w:link w:val="CommentSubjectChar"/>
    <w:uiPriority w:val="99"/>
    <w:semiHidden/>
    <w:unhideWhenUsed/>
    <w:rsid w:val="002D2136"/>
    <w:rPr>
      <w:b/>
      <w:bCs/>
    </w:rPr>
  </w:style>
  <w:style w:type="character" w:customStyle="1" w:styleId="CommentSubjectChar">
    <w:name w:val="Comment Subject Char"/>
    <w:basedOn w:val="CommentTextChar"/>
    <w:link w:val="CommentSubject"/>
    <w:uiPriority w:val="99"/>
    <w:semiHidden/>
    <w:rsid w:val="002D2136"/>
    <w:rPr>
      <w:b/>
      <w:bCs/>
      <w:sz w:val="20"/>
      <w:szCs w:val="20"/>
    </w:rPr>
  </w:style>
  <w:style w:type="paragraph" w:styleId="BalloonText">
    <w:name w:val="Balloon Text"/>
    <w:basedOn w:val="Normal"/>
    <w:link w:val="BalloonTextChar"/>
    <w:uiPriority w:val="99"/>
    <w:semiHidden/>
    <w:unhideWhenUsed/>
    <w:rsid w:val="002D2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136"/>
    <w:rPr>
      <w:rFonts w:ascii="Segoe UI" w:hAnsi="Segoe UI" w:cs="Segoe UI"/>
      <w:sz w:val="18"/>
      <w:szCs w:val="18"/>
    </w:rPr>
  </w:style>
  <w:style w:type="paragraph" w:styleId="FootnoteText">
    <w:name w:val="footnote text"/>
    <w:basedOn w:val="Normal"/>
    <w:link w:val="FootnoteTextChar"/>
    <w:uiPriority w:val="99"/>
    <w:semiHidden/>
    <w:unhideWhenUsed/>
    <w:rsid w:val="002D2136"/>
    <w:rPr>
      <w:sz w:val="20"/>
      <w:szCs w:val="20"/>
    </w:rPr>
  </w:style>
  <w:style w:type="character" w:customStyle="1" w:styleId="FootnoteTextChar">
    <w:name w:val="Footnote Text Char"/>
    <w:basedOn w:val="DefaultParagraphFont"/>
    <w:link w:val="FootnoteText"/>
    <w:uiPriority w:val="99"/>
    <w:semiHidden/>
    <w:rsid w:val="002D2136"/>
    <w:rPr>
      <w:sz w:val="20"/>
      <w:szCs w:val="20"/>
    </w:rPr>
  </w:style>
  <w:style w:type="character" w:styleId="FootnoteReference">
    <w:name w:val="footnote reference"/>
    <w:basedOn w:val="DefaultParagraphFont"/>
    <w:uiPriority w:val="99"/>
    <w:semiHidden/>
    <w:unhideWhenUsed/>
    <w:rsid w:val="002D2136"/>
    <w:rPr>
      <w:vertAlign w:val="superscript"/>
    </w:rPr>
  </w:style>
  <w:style w:type="table" w:styleId="TableGrid">
    <w:name w:val="Table Grid"/>
    <w:basedOn w:val="TableNormal"/>
    <w:uiPriority w:val="39"/>
    <w:rsid w:val="00A74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B13BD-6FEA-46D7-972B-C28BB463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Petrovic</dc:creator>
  <cp:keywords/>
  <dc:description/>
  <cp:lastModifiedBy>M Petrovic</cp:lastModifiedBy>
  <cp:revision>19</cp:revision>
  <dcterms:created xsi:type="dcterms:W3CDTF">2020-03-24T05:46:00Z</dcterms:created>
  <dcterms:modified xsi:type="dcterms:W3CDTF">2020-03-24T08:34:00Z</dcterms:modified>
</cp:coreProperties>
</file>