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59" w:rsidRDefault="000C1B2F">
      <w:pPr>
        <w:spacing w:after="223" w:line="259" w:lineRule="auto"/>
        <w:ind w:left="41" w:right="2"/>
        <w:jc w:val="center"/>
      </w:pPr>
      <w:r>
        <w:rPr>
          <w:b/>
        </w:rPr>
        <w:t xml:space="preserve">ПРЕВЕНЦИЈА ПОРЕМЕЋАЈА У ПОНАШАЊУ </w:t>
      </w:r>
      <w:r>
        <w:t xml:space="preserve">(III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ДВ) </w:t>
      </w:r>
    </w:p>
    <w:p w:rsidR="00323259" w:rsidRDefault="000C1B2F">
      <w:pPr>
        <w:pStyle w:val="Heading1"/>
        <w:spacing w:after="175"/>
        <w:ind w:left="41"/>
      </w:pPr>
      <w:proofErr w:type="spellStart"/>
      <w:proofErr w:type="gramStart"/>
      <w:r>
        <w:t>Основне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</w:t>
      </w:r>
      <w:r w:rsidR="00801EFF">
        <w:rPr>
          <w:lang w:val="sr-Cyrl-RS"/>
        </w:rPr>
        <w:t>9</w:t>
      </w:r>
      <w:r>
        <w:t>/</w:t>
      </w:r>
      <w:r w:rsidR="00801EFF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</w:p>
    <w:p w:rsidR="00323259" w:rsidRDefault="000C1B2F">
      <w:pPr>
        <w:spacing w:after="213" w:line="259" w:lineRule="auto"/>
        <w:ind w:left="84" w:firstLine="0"/>
        <w:jc w:val="center"/>
      </w:pPr>
      <w:r>
        <w:rPr>
          <w:b/>
        </w:rPr>
        <w:t xml:space="preserve"> </w:t>
      </w:r>
    </w:p>
    <w:p w:rsidR="00323259" w:rsidRDefault="000C1B2F">
      <w:pPr>
        <w:spacing w:after="223" w:line="259" w:lineRule="auto"/>
        <w:ind w:left="0" w:firstLine="0"/>
      </w:pPr>
      <w:proofErr w:type="spellStart"/>
      <w:r>
        <w:rPr>
          <w:u w:val="single" w:color="000000"/>
        </w:rPr>
        <w:t>Наставне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теме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Превенција</w:t>
      </w:r>
      <w:proofErr w:type="spellEnd"/>
      <w:r>
        <w:t xml:space="preserve"> </w:t>
      </w:r>
      <w:proofErr w:type="spellStart"/>
      <w:r>
        <w:t>поремећаја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: </w:t>
      </w:r>
      <w:proofErr w:type="spellStart"/>
      <w:r>
        <w:t>појмовно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Управљање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: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Управљање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: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Поремећаји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: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узроци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превентивног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(</w:t>
      </w:r>
      <w:proofErr w:type="spellStart"/>
      <w:r>
        <w:t>агресивност</w:t>
      </w:r>
      <w:proofErr w:type="spellEnd"/>
      <w:r>
        <w:t xml:space="preserve">, </w:t>
      </w:r>
      <w:proofErr w:type="spellStart"/>
      <w:r>
        <w:t>раздражљивост</w:t>
      </w:r>
      <w:proofErr w:type="spellEnd"/>
      <w:r>
        <w:t xml:space="preserve">, </w:t>
      </w:r>
      <w:proofErr w:type="spellStart"/>
      <w:r>
        <w:t>претерана</w:t>
      </w:r>
      <w:proofErr w:type="spellEnd"/>
      <w:r>
        <w:t xml:space="preserve"> </w:t>
      </w:r>
      <w:proofErr w:type="spellStart"/>
      <w:r>
        <w:t>прилагођеност</w:t>
      </w:r>
      <w:proofErr w:type="spellEnd"/>
      <w:r>
        <w:t xml:space="preserve">,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концентрација</w:t>
      </w:r>
      <w:proofErr w:type="spellEnd"/>
      <w:r>
        <w:t xml:space="preserve">, </w:t>
      </w:r>
      <w:proofErr w:type="spellStart"/>
      <w:r>
        <w:t>депресивност</w:t>
      </w:r>
      <w:proofErr w:type="spellEnd"/>
      <w:r>
        <w:t xml:space="preserve">) </w:t>
      </w:r>
    </w:p>
    <w:p w:rsidR="00323259" w:rsidRDefault="000C1B2F">
      <w:pPr>
        <w:spacing w:after="178" w:line="259" w:lineRule="auto"/>
        <w:ind w:left="720" w:firstLine="0"/>
      </w:pPr>
      <w:r>
        <w:t xml:space="preserve"> </w:t>
      </w:r>
    </w:p>
    <w:p w:rsidR="00323259" w:rsidRDefault="000C1B2F">
      <w:pPr>
        <w:spacing w:after="0" w:line="259" w:lineRule="auto"/>
        <w:ind w:left="84" w:firstLine="0"/>
        <w:jc w:val="center"/>
      </w:pPr>
      <w:r>
        <w:t xml:space="preserve"> </w:t>
      </w:r>
    </w:p>
    <w:tbl>
      <w:tblPr>
        <w:tblStyle w:val="TableGrid"/>
        <w:tblW w:w="8471" w:type="dxa"/>
        <w:tblInd w:w="-107" w:type="dxa"/>
        <w:tblCellMar>
          <w:top w:w="1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710"/>
        <w:gridCol w:w="3172"/>
        <w:gridCol w:w="2589"/>
      </w:tblGrid>
      <w:tr w:rsidR="00323259">
        <w:trPr>
          <w:trHeight w:val="473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259" w:rsidRDefault="000C1B2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ЕВАЛУАЦИЈА РАДА СТУДЕНАТА </w:t>
            </w:r>
          </w:p>
        </w:tc>
      </w:tr>
      <w:tr w:rsidR="00323259">
        <w:trPr>
          <w:trHeight w:val="47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АКТИВНОСТ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ОПИС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БРОЈ БОДОВА </w:t>
            </w:r>
          </w:p>
        </w:tc>
      </w:tr>
      <w:tr w:rsidR="00323259">
        <w:trPr>
          <w:trHeight w:val="475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ПРЕДИСПИТНЕ ОБАВЕЗЕ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0"/>
              </w:rPr>
              <w:t>Присуство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10 (5 </w:t>
            </w:r>
            <w:proofErr w:type="spellStart"/>
            <w:r>
              <w:rPr>
                <w:b/>
                <w:sz w:val="20"/>
              </w:rPr>
              <w:t>предавања</w:t>
            </w:r>
            <w:proofErr w:type="spellEnd"/>
            <w:r>
              <w:rPr>
                <w:b/>
                <w:sz w:val="20"/>
              </w:rPr>
              <w:t xml:space="preserve"> + 5 </w:t>
            </w:r>
            <w:proofErr w:type="spellStart"/>
            <w:r>
              <w:rPr>
                <w:b/>
                <w:sz w:val="20"/>
              </w:rPr>
              <w:t>вежбе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</w:tr>
      <w:tr w:rsidR="0032325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sz w:val="20"/>
              </w:rPr>
              <w:t>Активност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часовима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10 (5 </w:t>
            </w:r>
            <w:proofErr w:type="spellStart"/>
            <w:r>
              <w:rPr>
                <w:b/>
                <w:sz w:val="20"/>
              </w:rPr>
              <w:t>предавања</w:t>
            </w:r>
            <w:proofErr w:type="spellEnd"/>
            <w:r>
              <w:rPr>
                <w:b/>
                <w:sz w:val="20"/>
              </w:rPr>
              <w:t xml:space="preserve"> + 5 </w:t>
            </w:r>
            <w:proofErr w:type="spellStart"/>
            <w:r>
              <w:rPr>
                <w:b/>
                <w:sz w:val="20"/>
              </w:rPr>
              <w:t>вежбе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</w:tr>
      <w:tr w:rsidR="00323259">
        <w:trPr>
          <w:trHeight w:val="2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83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Самостални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истраживачки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студената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тему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Васпитни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проблеми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средњошколаца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323259" w:rsidRDefault="000C1B2F">
            <w:pPr>
              <w:spacing w:after="47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  <w:u w:val="single" w:color="000000"/>
              </w:rPr>
              <w:t>Презентацију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предати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професору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у</w:t>
            </w:r>
            <w:r>
              <w:rPr>
                <w:b/>
                <w:sz w:val="24"/>
              </w:rPr>
              <w:t xml:space="preserve"> </w:t>
            </w:r>
          </w:p>
          <w:p w:rsidR="00323259" w:rsidRDefault="000C1B2F" w:rsidP="00801EFF">
            <w:pPr>
              <w:spacing w:after="0" w:line="259" w:lineRule="auto"/>
              <w:ind w:left="49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  <w:u w:val="single" w:color="000000"/>
              </w:rPr>
              <w:t>електронској</w:t>
            </w:r>
            <w:proofErr w:type="spellEnd"/>
            <w:proofErr w:type="gram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форми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, </w:t>
            </w:r>
            <w:r>
              <w:rPr>
                <w:b/>
                <w:sz w:val="24"/>
                <w:u w:val="single" w:color="000000"/>
                <w:lang w:val="sr-Cyrl-RS"/>
              </w:rPr>
              <w:t xml:space="preserve">на адресу: </w:t>
            </w:r>
            <w:r w:rsidR="00801EFF">
              <w:rPr>
                <w:b/>
                <w:sz w:val="24"/>
                <w:u w:val="single" w:color="000000"/>
              </w:rPr>
              <w:t>emina.kopas@pefja.kg.ac.rs</w:t>
            </w:r>
            <w:r>
              <w:rPr>
                <w:b/>
                <w:sz w:val="24"/>
              </w:rPr>
              <w:t xml:space="preserve">.  </w:t>
            </w:r>
            <w:proofErr w:type="spellStart"/>
            <w:proofErr w:type="gramStart"/>
            <w:r w:rsidR="00801EFF">
              <w:rPr>
                <w:b/>
                <w:sz w:val="24"/>
                <w:u w:val="single" w:color="000000"/>
              </w:rPr>
              <w:t>до</w:t>
            </w:r>
            <w:proofErr w:type="spellEnd"/>
            <w:proofErr w:type="gramEnd"/>
            <w:r w:rsidR="00801EFF">
              <w:rPr>
                <w:b/>
                <w:sz w:val="24"/>
                <w:u w:val="single" w:color="000000"/>
              </w:rPr>
              <w:t xml:space="preserve"> 16. 10. 2019</w:t>
            </w:r>
            <w:r>
              <w:rPr>
                <w:b/>
                <w:sz w:val="24"/>
                <w:u w:val="single" w:color="000000"/>
              </w:rPr>
              <w:t>.)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20  </w:t>
            </w:r>
          </w:p>
        </w:tc>
      </w:tr>
      <w:tr w:rsidR="00323259">
        <w:trPr>
          <w:trHeight w:val="991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ИСПИТ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2" w:rsidRDefault="000C1B2F">
            <w:pPr>
              <w:spacing w:after="0" w:line="259" w:lineRule="auto"/>
              <w:ind w:left="314" w:right="364" w:firstLine="0"/>
              <w:jc w:val="center"/>
              <w:rPr>
                <w:b/>
                <w:sz w:val="20"/>
                <w:lang w:val="sr-Cyrl-RS"/>
              </w:rPr>
            </w:pPr>
            <w:proofErr w:type="spellStart"/>
            <w:r>
              <w:rPr>
                <w:b/>
                <w:sz w:val="20"/>
              </w:rPr>
              <w:t>Колоквијум</w:t>
            </w:r>
            <w:proofErr w:type="spellEnd"/>
            <w:r>
              <w:rPr>
                <w:b/>
                <w:sz w:val="20"/>
              </w:rPr>
              <w:t xml:space="preserve"> – </w:t>
            </w:r>
            <w:r w:rsidR="003B75E2">
              <w:rPr>
                <w:b/>
                <w:sz w:val="20"/>
                <w:lang w:val="sr-Cyrl-RS"/>
              </w:rPr>
              <w:t xml:space="preserve">усмени </w:t>
            </w:r>
          </w:p>
          <w:p w:rsidR="00323259" w:rsidRDefault="000C1B2F" w:rsidP="00801EFF">
            <w:pPr>
              <w:spacing w:after="0" w:line="259" w:lineRule="auto"/>
              <w:ind w:left="314" w:right="364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3B75E2">
              <w:rPr>
                <w:b/>
                <w:sz w:val="24"/>
              </w:rPr>
              <w:t>(2</w:t>
            </w:r>
            <w:r w:rsidR="00801EFF">
              <w:rPr>
                <w:b/>
                <w:sz w:val="24"/>
              </w:rPr>
              <w:t>3</w:t>
            </w:r>
            <w:r w:rsidR="003B75E2">
              <w:rPr>
                <w:b/>
                <w:sz w:val="24"/>
              </w:rPr>
              <w:t xml:space="preserve">. </w:t>
            </w:r>
            <w:r w:rsidR="00801EFF">
              <w:rPr>
                <w:b/>
                <w:sz w:val="24"/>
              </w:rPr>
              <w:t>10.</w:t>
            </w:r>
            <w:r w:rsidR="003B75E2">
              <w:rPr>
                <w:b/>
                <w:sz w:val="24"/>
              </w:rPr>
              <w:t xml:space="preserve"> 201</w:t>
            </w:r>
            <w:r w:rsidR="00801EFF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.)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32325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0"/>
              </w:rPr>
              <w:t>Испит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усмени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</w:tr>
      <w:tr w:rsidR="00323259">
        <w:trPr>
          <w:trHeight w:val="475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УКУПНО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323259" w:rsidRDefault="000C1B2F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323259" w:rsidRDefault="000C1B2F">
      <w:pPr>
        <w:spacing w:after="163" w:line="259" w:lineRule="auto"/>
        <w:ind w:left="0" w:firstLine="0"/>
      </w:pPr>
      <w:proofErr w:type="spellStart"/>
      <w:r>
        <w:rPr>
          <w:b/>
          <w:u w:val="single" w:color="000000"/>
        </w:rPr>
        <w:t>Обавезна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литература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323259" w:rsidRDefault="000C1B2F">
      <w:pPr>
        <w:spacing w:after="250" w:line="259" w:lineRule="auto"/>
        <w:ind w:left="-5"/>
      </w:pPr>
      <w:r>
        <w:rPr>
          <w:sz w:val="18"/>
        </w:rPr>
        <w:t xml:space="preserve">Cowley, S. (2006): </w:t>
      </w:r>
      <w:proofErr w:type="spellStart"/>
      <w:r>
        <w:rPr>
          <w:i/>
          <w:sz w:val="18"/>
        </w:rPr>
        <w:t>Tajne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uspješnog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rada</w:t>
      </w:r>
      <w:proofErr w:type="spellEnd"/>
      <w:r>
        <w:rPr>
          <w:i/>
          <w:sz w:val="18"/>
        </w:rPr>
        <w:t xml:space="preserve"> u </w:t>
      </w:r>
      <w:proofErr w:type="spellStart"/>
      <w:r>
        <w:rPr>
          <w:i/>
          <w:sz w:val="18"/>
        </w:rPr>
        <w:t>razredu</w:t>
      </w:r>
      <w:proofErr w:type="spellEnd"/>
      <w:r>
        <w:rPr>
          <w:sz w:val="18"/>
        </w:rPr>
        <w:t xml:space="preserve">. Zagreb: </w:t>
      </w:r>
      <w:proofErr w:type="spellStart"/>
      <w:r>
        <w:rPr>
          <w:sz w:val="18"/>
        </w:rPr>
        <w:t>Školska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knjiga</w:t>
      </w:r>
      <w:proofErr w:type="spellEnd"/>
      <w:r>
        <w:rPr>
          <w:sz w:val="18"/>
        </w:rPr>
        <w:t xml:space="preserve">. </w:t>
      </w:r>
    </w:p>
    <w:p w:rsidR="00323259" w:rsidRDefault="000C1B2F">
      <w:pPr>
        <w:spacing w:after="250" w:line="259" w:lineRule="auto"/>
        <w:ind w:left="-5"/>
      </w:pPr>
      <w:proofErr w:type="spellStart"/>
      <w:r>
        <w:rPr>
          <w:sz w:val="18"/>
        </w:rPr>
        <w:t>Krnjajić</w:t>
      </w:r>
      <w:proofErr w:type="spellEnd"/>
      <w:r>
        <w:rPr>
          <w:sz w:val="18"/>
        </w:rPr>
        <w:t>, S. (</w:t>
      </w:r>
      <w:proofErr w:type="spellStart"/>
      <w:r>
        <w:rPr>
          <w:sz w:val="18"/>
        </w:rPr>
        <w:t>ur</w:t>
      </w:r>
      <w:proofErr w:type="spellEnd"/>
      <w:r>
        <w:rPr>
          <w:sz w:val="18"/>
        </w:rPr>
        <w:t xml:space="preserve">) (2004): </w:t>
      </w:r>
      <w:proofErr w:type="spellStart"/>
      <w:r>
        <w:rPr>
          <w:i/>
          <w:sz w:val="18"/>
        </w:rPr>
        <w:t>Socijalno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ponašanje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učenika</w:t>
      </w:r>
      <w:proofErr w:type="spellEnd"/>
      <w:r>
        <w:rPr>
          <w:sz w:val="18"/>
        </w:rPr>
        <w:t xml:space="preserve">. Beograd: </w:t>
      </w:r>
      <w:proofErr w:type="spellStart"/>
      <w:r>
        <w:rPr>
          <w:sz w:val="18"/>
        </w:rPr>
        <w:t>Institut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pedagoška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istraživanja</w:t>
      </w:r>
      <w:proofErr w:type="spellEnd"/>
      <w:r>
        <w:rPr>
          <w:sz w:val="18"/>
        </w:rPr>
        <w:t xml:space="preserve">.  </w:t>
      </w:r>
    </w:p>
    <w:p w:rsidR="00323259" w:rsidRDefault="000C1B2F">
      <w:pPr>
        <w:spacing w:after="212" w:line="259" w:lineRule="auto"/>
        <w:ind w:left="0" w:firstLine="0"/>
      </w:pPr>
      <w:proofErr w:type="spellStart"/>
      <w:r>
        <w:rPr>
          <w:sz w:val="20"/>
        </w:rPr>
        <w:lastRenderedPageBreak/>
        <w:t>Spasenović</w:t>
      </w:r>
      <w:proofErr w:type="spellEnd"/>
      <w:r>
        <w:rPr>
          <w:sz w:val="20"/>
        </w:rPr>
        <w:t xml:space="preserve">, V. (2008): </w:t>
      </w:r>
      <w:proofErr w:type="spellStart"/>
      <w:r>
        <w:rPr>
          <w:sz w:val="20"/>
        </w:rPr>
        <w:t>Vršnjački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odnosi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školski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uspeh</w:t>
      </w:r>
      <w:proofErr w:type="spellEnd"/>
      <w:r>
        <w:rPr>
          <w:sz w:val="20"/>
        </w:rPr>
        <w:t xml:space="preserve">. Beograd: </w:t>
      </w:r>
      <w:proofErr w:type="spellStart"/>
      <w:r>
        <w:rPr>
          <w:sz w:val="20"/>
        </w:rPr>
        <w:t>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pedagoška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>.</w:t>
      </w:r>
      <w:r>
        <w:rPr>
          <w:sz w:val="18"/>
        </w:rPr>
        <w:t xml:space="preserve"> </w:t>
      </w:r>
    </w:p>
    <w:p w:rsidR="00323259" w:rsidRDefault="000C1B2F">
      <w:pPr>
        <w:spacing w:after="250" w:line="259" w:lineRule="auto"/>
        <w:ind w:left="-5"/>
      </w:pPr>
      <w:proofErr w:type="spellStart"/>
      <w:r>
        <w:rPr>
          <w:sz w:val="18"/>
        </w:rPr>
        <w:t>Winkel</w:t>
      </w:r>
      <w:proofErr w:type="spellEnd"/>
      <w:r>
        <w:rPr>
          <w:sz w:val="18"/>
        </w:rPr>
        <w:t xml:space="preserve">, R. (1996): </w:t>
      </w:r>
      <w:proofErr w:type="spellStart"/>
      <w:r>
        <w:rPr>
          <w:i/>
          <w:sz w:val="18"/>
        </w:rPr>
        <w:t>Djeca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koju</w:t>
      </w:r>
      <w:proofErr w:type="spellEnd"/>
      <w:r>
        <w:rPr>
          <w:i/>
          <w:sz w:val="18"/>
        </w:rPr>
        <w:t xml:space="preserve"> je </w:t>
      </w:r>
      <w:proofErr w:type="spellStart"/>
      <w:r>
        <w:rPr>
          <w:i/>
          <w:sz w:val="18"/>
        </w:rPr>
        <w:t>teško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odgajati</w:t>
      </w:r>
      <w:proofErr w:type="spellEnd"/>
      <w:r>
        <w:rPr>
          <w:sz w:val="18"/>
        </w:rPr>
        <w:t xml:space="preserve">. Zagreb: </w:t>
      </w:r>
      <w:proofErr w:type="spellStart"/>
      <w:r>
        <w:rPr>
          <w:sz w:val="18"/>
        </w:rPr>
        <w:t>Educa</w:t>
      </w:r>
      <w:proofErr w:type="spellEnd"/>
      <w:r>
        <w:rPr>
          <w:sz w:val="18"/>
        </w:rPr>
        <w:t xml:space="preserve">. </w:t>
      </w:r>
    </w:p>
    <w:p w:rsidR="00323259" w:rsidRDefault="000C1B2F">
      <w:pPr>
        <w:pStyle w:val="Heading1"/>
        <w:ind w:left="41" w:right="3"/>
      </w:pPr>
      <w:proofErr w:type="spellStart"/>
      <w:r>
        <w:t>Испитна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ППуП</w:t>
      </w:r>
      <w:proofErr w:type="spellEnd"/>
      <w:r>
        <w:t xml:space="preserve"> </w:t>
      </w:r>
    </w:p>
    <w:p w:rsidR="00323259" w:rsidRDefault="000C1B2F">
      <w:pPr>
        <w:spacing w:after="0" w:line="259" w:lineRule="auto"/>
        <w:ind w:left="84" w:firstLine="0"/>
        <w:jc w:val="center"/>
      </w:pPr>
      <w:r>
        <w:rPr>
          <w:b/>
        </w:rPr>
        <w:t xml:space="preserve">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proofErr w:type="gramStart"/>
      <w:r>
        <w:t>Određenje</w:t>
      </w:r>
      <w:proofErr w:type="spellEnd"/>
      <w:r>
        <w:t xml:space="preserve">  </w:t>
      </w:r>
      <w:proofErr w:type="spellStart"/>
      <w:r>
        <w:t>pojma</w:t>
      </w:r>
      <w:proofErr w:type="spellEnd"/>
      <w:proofErr w:type="gramEnd"/>
      <w:r>
        <w:t xml:space="preserve"> </w:t>
      </w:r>
      <w:proofErr w:type="spellStart"/>
      <w:r>
        <w:rPr>
          <w:i/>
        </w:rPr>
        <w:t>poremećaj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prevencija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rPr>
          <w:i/>
        </w:rPr>
        <w:t>pravila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upravljanja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ponašanjem</w:t>
      </w:r>
      <w:proofErr w:type="spellEnd"/>
      <w:r>
        <w:rPr>
          <w:i/>
        </w:rPr>
        <w:t>.</w:t>
      </w:r>
      <w:r>
        <w:t xml:space="preserve"> 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Tehnike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?)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Preduslovi</w:t>
      </w:r>
      <w:proofErr w:type="spellEnd"/>
      <w:r>
        <w:t xml:space="preserve"> </w:t>
      </w:r>
      <w:proofErr w:type="spellStart"/>
      <w:r>
        <w:t>kvalitetnog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(</w:t>
      </w:r>
      <w:proofErr w:type="spellStart"/>
      <w:r>
        <w:t>učenika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rPr>
          <w:i/>
        </w:rPr>
        <w:t>prosocijalno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ponašanje</w:t>
      </w:r>
      <w:proofErr w:type="spellEnd"/>
      <w:r>
        <w:t xml:space="preserve">. 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Efekti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Negativno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,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Etička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prosocijalnog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Prosocijalne</w:t>
      </w:r>
      <w:proofErr w:type="spellEnd"/>
      <w:r>
        <w:t xml:space="preserve"> </w:t>
      </w:r>
      <w:proofErr w:type="spellStart"/>
      <w:r>
        <w:t>dispozicije</w:t>
      </w:r>
      <w:proofErr w:type="spellEnd"/>
      <w:r>
        <w:t xml:space="preserve"> (</w:t>
      </w:r>
      <w:proofErr w:type="spellStart"/>
      <w:r>
        <w:t>кarakteristike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prosocijalnim</w:t>
      </w:r>
      <w:proofErr w:type="spellEnd"/>
      <w:r>
        <w:t xml:space="preserve"> </w:t>
      </w:r>
      <w:proofErr w:type="spellStart"/>
      <w:r>
        <w:t>dispozicijama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Povezanost</w:t>
      </w:r>
      <w:proofErr w:type="spellEnd"/>
      <w:r>
        <w:t xml:space="preserve"> </w:t>
      </w:r>
      <w:proofErr w:type="spellStart"/>
      <w:r>
        <w:t>prosocijalnog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Socijalni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afilijativni</w:t>
      </w:r>
      <w:proofErr w:type="spellEnd"/>
      <w:r>
        <w:t xml:space="preserve"> (</w:t>
      </w:r>
      <w:proofErr w:type="spellStart"/>
      <w:r>
        <w:t>težnja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udruživanjem</w:t>
      </w:r>
      <w:proofErr w:type="spellEnd"/>
      <w:r>
        <w:t xml:space="preserve">)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interakciju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vršnjacima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Socijalna</w:t>
      </w:r>
      <w:proofErr w:type="spellEnd"/>
      <w:r>
        <w:t xml:space="preserve"> (</w:t>
      </w:r>
      <w:proofErr w:type="spellStart"/>
      <w:r>
        <w:t>inicijativnost</w:t>
      </w:r>
      <w:proofErr w:type="spellEnd"/>
      <w:r>
        <w:t xml:space="preserve">, </w:t>
      </w:r>
      <w:proofErr w:type="spellStart"/>
      <w:r>
        <w:t>popularnost</w:t>
      </w:r>
      <w:proofErr w:type="spellEnd"/>
      <w:r>
        <w:t xml:space="preserve">, </w:t>
      </w:r>
      <w:proofErr w:type="spellStart"/>
      <w:r>
        <w:t>kooperativnost</w:t>
      </w:r>
      <w:proofErr w:type="spellEnd"/>
      <w:proofErr w:type="gramStart"/>
      <w:r>
        <w:t>,...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emocionalna</w:t>
      </w:r>
      <w:proofErr w:type="spellEnd"/>
      <w:r>
        <w:t xml:space="preserve"> (</w:t>
      </w:r>
      <w:proofErr w:type="spellStart"/>
      <w:r>
        <w:t>afektivna</w:t>
      </w:r>
      <w:proofErr w:type="spellEnd"/>
      <w:r>
        <w:t xml:space="preserve"> </w:t>
      </w:r>
      <w:proofErr w:type="spellStart"/>
      <w:r>
        <w:t>vezanost</w:t>
      </w:r>
      <w:proofErr w:type="spellEnd"/>
      <w:r>
        <w:t xml:space="preserve">) </w:t>
      </w:r>
      <w:proofErr w:type="spellStart"/>
      <w:r>
        <w:t>bliskost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Pozitivni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ekspanzivnosti</w:t>
      </w:r>
      <w:proofErr w:type="spellEnd"/>
      <w:r>
        <w:t xml:space="preserve">, </w:t>
      </w:r>
      <w:proofErr w:type="spellStart"/>
      <w:r>
        <w:t>društvenosti</w:t>
      </w:r>
      <w:proofErr w:type="spellEnd"/>
      <w:r>
        <w:t xml:space="preserve">, 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kognitivne</w:t>
      </w:r>
      <w:proofErr w:type="spellEnd"/>
      <w:r>
        <w:t xml:space="preserve"> </w:t>
      </w:r>
      <w:proofErr w:type="spellStart"/>
      <w:r>
        <w:t>kompetentnosti</w:t>
      </w:r>
      <w:proofErr w:type="spellEnd"/>
      <w:r>
        <w:t xml:space="preserve">)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Uzrasne</w:t>
      </w:r>
      <w:proofErr w:type="spellEnd"/>
      <w:r>
        <w:t xml:space="preserve"> </w:t>
      </w:r>
      <w:proofErr w:type="spellStart"/>
      <w:r>
        <w:t>orijentacije</w:t>
      </w:r>
      <w:proofErr w:type="spellEnd"/>
      <w:r>
        <w:t xml:space="preserve"> u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drugova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drugarica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rPr>
          <w:i/>
        </w:rPr>
        <w:t>bihejvioralna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inhibiranost</w:t>
      </w:r>
      <w:proofErr w:type="spellEnd"/>
      <w:r>
        <w:t xml:space="preserve"> (</w:t>
      </w:r>
      <w:proofErr w:type="spellStart"/>
      <w:r>
        <w:t>povučenost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 </w:t>
      </w:r>
      <w:proofErr w:type="spellStart"/>
      <w:r>
        <w:rPr>
          <w:i/>
        </w:rPr>
        <w:t>socijalna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uzdržanost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socijalna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anksioznost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rPr>
          <w:i/>
        </w:rPr>
        <w:t>Interventni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programi</w:t>
      </w:r>
      <w:proofErr w:type="spellEnd"/>
      <w:r>
        <w:t xml:space="preserve">,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(</w:t>
      </w:r>
      <w:proofErr w:type="spellStart"/>
      <w:r>
        <w:t>niska</w:t>
      </w:r>
      <w:proofErr w:type="spellEnd"/>
      <w:r>
        <w:t xml:space="preserve"> </w:t>
      </w:r>
      <w:proofErr w:type="spellStart"/>
      <w:r>
        <w:t>frekvencija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, </w:t>
      </w:r>
      <w:proofErr w:type="spellStart"/>
      <w:r>
        <w:t>neintegrisanost</w:t>
      </w:r>
      <w:proofErr w:type="spellEnd"/>
      <w:r>
        <w:t xml:space="preserve"> 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neprilagođenog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Polne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interakciji</w:t>
      </w:r>
      <w:proofErr w:type="spellEnd"/>
      <w:r>
        <w:t xml:space="preserve"> </w:t>
      </w:r>
      <w:proofErr w:type="spellStart"/>
      <w:r>
        <w:t>dečaka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devojčica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Porodični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grupi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Razvojni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Motivi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Učenje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(</w:t>
      </w:r>
      <w:proofErr w:type="spellStart"/>
      <w:proofErr w:type="gramEnd"/>
      <w:r>
        <w:t>potkrepljenjem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Koraci</w:t>
      </w:r>
      <w:proofErr w:type="spellEnd"/>
      <w:r>
        <w:t xml:space="preserve"> u </w:t>
      </w:r>
      <w:proofErr w:type="spellStart"/>
      <w:r>
        <w:t>pedagoškom</w:t>
      </w:r>
      <w:proofErr w:type="spellEnd"/>
      <w:r>
        <w:t xml:space="preserve"> </w:t>
      </w:r>
      <w:proofErr w:type="spellStart"/>
      <w:r>
        <w:t>delovanju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agresivno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(1.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agresivnosti</w:t>
      </w:r>
      <w:proofErr w:type="spellEnd"/>
      <w:r>
        <w:t xml:space="preserve">, 2. </w:t>
      </w:r>
    </w:p>
    <w:p w:rsidR="00323259" w:rsidRDefault="000C1B2F">
      <w:pPr>
        <w:ind w:left="730"/>
      </w:pPr>
      <w:proofErr w:type="spellStart"/>
      <w:r>
        <w:t>određivanje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, 3.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, 4. </w:t>
      </w:r>
      <w:proofErr w:type="spellStart"/>
      <w:r>
        <w:t>konsekventno</w:t>
      </w:r>
      <w:proofErr w:type="spellEnd"/>
      <w:r>
        <w:t xml:space="preserve"> </w:t>
      </w:r>
      <w:proofErr w:type="spellStart"/>
      <w:r>
        <w:t>isticanje</w:t>
      </w:r>
      <w:proofErr w:type="spellEnd"/>
      <w:r>
        <w:t xml:space="preserve"> </w:t>
      </w:r>
      <w:proofErr w:type="spellStart"/>
      <w:r>
        <w:t>neprihvatljivog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razdražljivosti</w:t>
      </w:r>
      <w:proofErr w:type="spellEnd"/>
      <w:r>
        <w:t xml:space="preserve">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razdražljivosti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Pedagoško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razdraženog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Odnos</w:t>
      </w:r>
      <w:proofErr w:type="spellEnd"/>
      <w:r>
        <w:t xml:space="preserve"> </w:t>
      </w:r>
      <w:proofErr w:type="spellStart"/>
      <w:r>
        <w:t>vaspitača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razdraženom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rPr>
          <w:i/>
        </w:rPr>
        <w:t>Dete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previše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prilagođava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prevelike</w:t>
      </w:r>
      <w:proofErr w:type="spellEnd"/>
      <w:r>
        <w:t xml:space="preserve"> </w:t>
      </w:r>
      <w:proofErr w:type="spellStart"/>
      <w:r>
        <w:t>prilagođenosti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Posledice</w:t>
      </w:r>
      <w:proofErr w:type="spellEnd"/>
      <w:r>
        <w:t xml:space="preserve"> </w:t>
      </w:r>
      <w:proofErr w:type="spellStart"/>
      <w:r>
        <w:t>prevelike</w:t>
      </w:r>
      <w:proofErr w:type="spellEnd"/>
      <w:r>
        <w:t xml:space="preserve"> </w:t>
      </w:r>
      <w:proofErr w:type="spellStart"/>
      <w:r>
        <w:t>prilagođenosti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rPr>
          <w:i/>
        </w:rPr>
        <w:t>Kreativna</w:t>
      </w:r>
      <w:proofErr w:type="spellEnd"/>
      <w:r>
        <w:t xml:space="preserve"> </w:t>
      </w:r>
      <w:proofErr w:type="spellStart"/>
      <w:r>
        <w:rPr>
          <w:i/>
        </w:rPr>
        <w:t>prilagođenost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prevelika</w:t>
      </w:r>
      <w:proofErr w:type="spellEnd"/>
      <w:r>
        <w:t xml:space="preserve"> </w:t>
      </w:r>
      <w:proofErr w:type="spellStart"/>
      <w:r>
        <w:rPr>
          <w:i/>
        </w:rPr>
        <w:t>prilagođenost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Osobine</w:t>
      </w:r>
      <w:proofErr w:type="spellEnd"/>
      <w:r>
        <w:t xml:space="preserve"> </w:t>
      </w:r>
      <w:proofErr w:type="spellStart"/>
      <w:r>
        <w:rPr>
          <w:i/>
        </w:rPr>
        <w:t>autonomne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ličnosti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samostalnost</w:t>
      </w:r>
      <w:proofErr w:type="spellEnd"/>
      <w:r>
        <w:t xml:space="preserve">, </w:t>
      </w:r>
      <w:proofErr w:type="spellStart"/>
      <w:r>
        <w:t>odgovornost</w:t>
      </w:r>
      <w:proofErr w:type="spellEnd"/>
      <w:r>
        <w:t xml:space="preserve">, </w:t>
      </w:r>
      <w:proofErr w:type="spellStart"/>
      <w:r>
        <w:t>nezavisnost</w:t>
      </w:r>
      <w:proofErr w:type="spellEnd"/>
      <w:r>
        <w:t xml:space="preserve">,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lastRenderedPageBreak/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r>
        <w:rPr>
          <w:i/>
        </w:rPr>
        <w:t xml:space="preserve">dobra </w:t>
      </w:r>
      <w:proofErr w:type="spellStart"/>
      <w:r>
        <w:rPr>
          <w:i/>
        </w:rPr>
        <w:t>koncentracija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Razvojni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slabu</w:t>
      </w:r>
      <w:proofErr w:type="spellEnd"/>
      <w:r>
        <w:t xml:space="preserve"> </w:t>
      </w:r>
      <w:proofErr w:type="spellStart"/>
      <w:r>
        <w:t>koncentraciju</w:t>
      </w:r>
      <w:proofErr w:type="spellEnd"/>
      <w:r>
        <w:t xml:space="preserve">?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rPr>
          <w:i/>
        </w:rPr>
        <w:t>Depresivno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(</w:t>
      </w:r>
      <w:proofErr w:type="spellStart"/>
      <w:r>
        <w:t>emocionalni</w:t>
      </w:r>
      <w:proofErr w:type="spellEnd"/>
      <w:r>
        <w:t xml:space="preserve">, </w:t>
      </w:r>
      <w:proofErr w:type="spellStart"/>
      <w:r>
        <w:t>socijalni</w:t>
      </w:r>
      <w:proofErr w:type="spellEnd"/>
      <w:r>
        <w:t xml:space="preserve">, </w:t>
      </w:r>
      <w:proofErr w:type="spellStart"/>
      <w:r>
        <w:t>kognitivni</w:t>
      </w:r>
      <w:proofErr w:type="spellEnd"/>
      <w:r>
        <w:t xml:space="preserve">, </w:t>
      </w:r>
      <w:proofErr w:type="spellStart"/>
      <w:r>
        <w:t>motivacioni</w:t>
      </w:r>
      <w:proofErr w:type="spellEnd"/>
      <w:r>
        <w:t xml:space="preserve">, </w:t>
      </w:r>
      <w:proofErr w:type="spellStart"/>
      <w:r>
        <w:t>fiziološki</w:t>
      </w:r>
      <w:proofErr w:type="spellEnd"/>
      <w:r>
        <w:t xml:space="preserve"> </w:t>
      </w:r>
      <w:proofErr w:type="spellStart"/>
      <w:r>
        <w:t>simptomi</w:t>
      </w:r>
      <w:proofErr w:type="spellEnd"/>
      <w:proofErr w:type="gramStart"/>
      <w:r>
        <w:t>, .</w:t>
      </w:r>
      <w:proofErr w:type="gramEnd"/>
      <w:r>
        <w:t xml:space="preserve">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depresivnom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 (</w:t>
      </w:r>
      <w:proofErr w:type="spellStart"/>
      <w:r>
        <w:t>pravci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)? </w:t>
      </w:r>
    </w:p>
    <w:p w:rsidR="00323259" w:rsidRDefault="000C1B2F">
      <w:pPr>
        <w:spacing w:after="0" w:line="259" w:lineRule="auto"/>
        <w:ind w:left="0" w:firstLine="0"/>
      </w:pPr>
      <w:r>
        <w:t xml:space="preserve"> </w:t>
      </w:r>
    </w:p>
    <w:p w:rsidR="00323259" w:rsidRDefault="004A4839">
      <w:pPr>
        <w:ind w:left="730"/>
      </w:pPr>
      <w:proofErr w:type="spellStart"/>
      <w:proofErr w:type="gramStart"/>
      <w:r>
        <w:t>Jagodina</w:t>
      </w:r>
      <w:proofErr w:type="spellEnd"/>
      <w:r>
        <w:t xml:space="preserve">, </w:t>
      </w:r>
      <w:r w:rsidR="00801EFF">
        <w:t>25</w:t>
      </w:r>
      <w:r>
        <w:t>.</w:t>
      </w:r>
      <w:proofErr w:type="gramEnd"/>
      <w:r>
        <w:t xml:space="preserve"> 9. 201</w:t>
      </w:r>
      <w:r w:rsidR="00801EFF">
        <w:t>9</w:t>
      </w:r>
      <w:bookmarkStart w:id="0" w:name="_GoBack"/>
      <w:bookmarkEnd w:id="0"/>
      <w:r w:rsidR="000C1B2F">
        <w:t xml:space="preserve">.                                    Prof. </w:t>
      </w:r>
      <w:proofErr w:type="spellStart"/>
      <w:r w:rsidR="000C1B2F">
        <w:t>dr</w:t>
      </w:r>
      <w:proofErr w:type="spellEnd"/>
      <w:r w:rsidR="000C1B2F">
        <w:t xml:space="preserve"> </w:t>
      </w:r>
      <w:proofErr w:type="spellStart"/>
      <w:r w:rsidR="000C1B2F">
        <w:t>Emina</w:t>
      </w:r>
      <w:proofErr w:type="spellEnd"/>
      <w:r w:rsidR="000C1B2F">
        <w:t xml:space="preserve"> </w:t>
      </w:r>
      <w:proofErr w:type="spellStart"/>
      <w:r w:rsidR="000C1B2F">
        <w:t>Kopas-Vukašinović</w:t>
      </w:r>
      <w:proofErr w:type="spellEnd"/>
      <w:r w:rsidR="000C1B2F">
        <w:t xml:space="preserve"> </w:t>
      </w:r>
    </w:p>
    <w:p w:rsidR="00323259" w:rsidRDefault="000C1B2F">
      <w:pPr>
        <w:spacing w:after="0" w:line="259" w:lineRule="auto"/>
        <w:ind w:left="0" w:firstLine="0"/>
      </w:pPr>
      <w:r>
        <w:t xml:space="preserve">                                                                                      Е-mail: </w:t>
      </w:r>
      <w:r>
        <w:rPr>
          <w:color w:val="0000FF"/>
          <w:u w:val="single" w:color="0000FF"/>
        </w:rPr>
        <w:t>emina.kopas@pefja.kg.ac.rs</w:t>
      </w:r>
      <w:r>
        <w:t xml:space="preserve"> </w:t>
      </w:r>
    </w:p>
    <w:p w:rsidR="004A4839" w:rsidRDefault="004A4839">
      <w:pPr>
        <w:spacing w:after="0" w:line="259" w:lineRule="auto"/>
        <w:ind w:left="0" w:firstLine="0"/>
        <w:rPr>
          <w:lang w:val="sr-Latn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5A4C">
        <w:rPr>
          <w:lang w:val="sr-Latn-RS"/>
        </w:rPr>
        <w:t>Asistent: Ana Miljković-Pavl</w:t>
      </w:r>
      <w:r>
        <w:rPr>
          <w:lang w:val="sr-Latn-RS"/>
        </w:rPr>
        <w:t>ović</w:t>
      </w:r>
    </w:p>
    <w:p w:rsidR="004A4839" w:rsidRDefault="004A4839">
      <w:pPr>
        <w:spacing w:after="0" w:line="259" w:lineRule="auto"/>
        <w:ind w:left="0" w:firstLine="0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E-mail: </w:t>
      </w:r>
      <w:hyperlink r:id="rId6" w:history="1">
        <w:r w:rsidR="00801EFF" w:rsidRPr="004A029C">
          <w:rPr>
            <w:rStyle w:val="Hyperlink"/>
            <w:lang w:val="sr-Latn-RS"/>
          </w:rPr>
          <w:t>ana.miljkovic@pefja.kg.ac.rs</w:t>
        </w:r>
      </w:hyperlink>
    </w:p>
    <w:p w:rsidR="004A4839" w:rsidRPr="004A4839" w:rsidRDefault="004A4839">
      <w:pPr>
        <w:spacing w:after="0" w:line="259" w:lineRule="auto"/>
        <w:ind w:left="0" w:firstLine="0"/>
        <w:rPr>
          <w:lang w:val="sr-Latn-RS"/>
        </w:rPr>
      </w:pPr>
    </w:p>
    <w:sectPr w:rsidR="004A4839" w:rsidRPr="004A4839">
      <w:pgSz w:w="12240" w:h="15840"/>
      <w:pgMar w:top="1485" w:right="1468" w:bottom="1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68"/>
    <w:multiLevelType w:val="hybridMultilevel"/>
    <w:tmpl w:val="909E63B6"/>
    <w:lvl w:ilvl="0" w:tplc="D4100E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6C8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AC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67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83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C7D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9C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C3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013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755EA"/>
    <w:multiLevelType w:val="hybridMultilevel"/>
    <w:tmpl w:val="723E55FA"/>
    <w:lvl w:ilvl="0" w:tplc="EB909A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E8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43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8B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2E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2D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04F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C1B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E6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9"/>
    <w:rsid w:val="000C1B2F"/>
    <w:rsid w:val="00323259"/>
    <w:rsid w:val="003B75E2"/>
    <w:rsid w:val="004A4839"/>
    <w:rsid w:val="00801EFF"/>
    <w:rsid w:val="009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67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1B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67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ljkovic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PSF</dc:creator>
  <cp:keywords/>
  <cp:lastModifiedBy>Windows User</cp:lastModifiedBy>
  <cp:revision>6</cp:revision>
  <dcterms:created xsi:type="dcterms:W3CDTF">2018-09-16T04:07:00Z</dcterms:created>
  <dcterms:modified xsi:type="dcterms:W3CDTF">2019-09-26T09:54:00Z</dcterms:modified>
</cp:coreProperties>
</file>